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line="276" w:lineRule="auto"/>
        <w:ind w:left="1819" w:leftChars="256" w:hanging="1205" w:hangingChars="500"/>
        <w:rPr>
          <w:b/>
        </w:rPr>
      </w:pPr>
      <w:bookmarkStart w:id="0" w:name="_Toc514238201"/>
      <w:bookmarkStart w:id="1" w:name="_Hlk71130285"/>
      <w:bookmarkStart w:id="2" w:name="_Hlk146557836"/>
      <w:bookmarkStart w:id="43" w:name="_GoBack"/>
      <w:bookmarkEnd w:id="43"/>
      <w:r>
        <w:rPr>
          <w:b/>
        </w:rPr>
        <w:t>附件1：资格审查条件</w:t>
      </w:r>
      <w:bookmarkEnd w:id="0"/>
    </w:p>
    <w:p>
      <w:pPr>
        <w:adjustRightInd w:val="0"/>
        <w:spacing w:line="400" w:lineRule="exact"/>
        <w:jc w:val="center"/>
        <w:rPr>
          <w:b/>
          <w:szCs w:val="24"/>
        </w:rPr>
      </w:pPr>
      <w:r>
        <w:rPr>
          <w:b/>
          <w:szCs w:val="24"/>
        </w:rPr>
        <w:t xml:space="preserve">附录1 </w:t>
      </w:r>
      <w:bookmarkStart w:id="3" w:name="_Hlk515531673"/>
      <w:r>
        <w:rPr>
          <w:b/>
        </w:rPr>
        <w:t>资格</w:t>
      </w:r>
      <w:r>
        <w:rPr>
          <w:b/>
          <w:szCs w:val="24"/>
        </w:rPr>
        <w:t>审查条件（</w:t>
      </w:r>
      <w:bookmarkStart w:id="4" w:name="_Hlk93741047"/>
      <w:r>
        <w:rPr>
          <w:b/>
          <w:szCs w:val="24"/>
        </w:rPr>
        <w:t>资质最低要求</w:t>
      </w:r>
      <w:bookmarkEnd w:id="4"/>
      <w:r>
        <w:rPr>
          <w:b/>
          <w:szCs w:val="24"/>
        </w:rPr>
        <w:t>）</w:t>
      </w:r>
      <w:bookmarkEnd w:id="3"/>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vAlign w:val="center"/>
          </w:tcPr>
          <w:p>
            <w:pPr>
              <w:pStyle w:val="9"/>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资质等级要求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9286" w:type="dxa"/>
            <w:vAlign w:val="center"/>
          </w:tcPr>
          <w:p>
            <w:pPr>
              <w:pStyle w:val="31"/>
            </w:pPr>
            <w:bookmarkStart w:id="5" w:name="_Hlk93741073"/>
            <w:r>
              <w:t>1、具有独立企业法人资格，持有有效的企业营业执照；</w:t>
            </w:r>
          </w:p>
          <w:bookmarkEnd w:id="5"/>
          <w:p>
            <w:pPr>
              <w:pStyle w:val="31"/>
            </w:pPr>
            <w:r>
              <w:rPr>
                <w:rFonts w:hint="eastAsia"/>
              </w:rPr>
              <w:t>2、具有省级及以上主管部门颁发的建设工程质量检测机构资质证书（综合资质或主体结构及装饰装修资质或主体结构工程检测资质），若为主体结构工程检测资质，检测范围须包含</w:t>
            </w:r>
            <w:r>
              <w:rPr>
                <w:rFonts w:hint="eastAsia" w:ascii="宋体" w:hAnsi="宋体"/>
              </w:rPr>
              <w:t>①</w:t>
            </w:r>
            <w:r>
              <w:rPr>
                <w:rFonts w:hint="eastAsia"/>
              </w:rPr>
              <w:t>混凝土、砂浆、砌体强度现场检测、</w:t>
            </w:r>
            <w:r>
              <w:rPr>
                <w:rFonts w:hint="eastAsia" w:ascii="宋体" w:hAnsi="宋体"/>
              </w:rPr>
              <w:t>②</w:t>
            </w:r>
            <w:r>
              <w:rPr>
                <w:rFonts w:hint="eastAsia"/>
              </w:rPr>
              <w:t>钢筋保护层厚度检测、</w:t>
            </w:r>
            <w:r>
              <w:rPr>
                <w:rFonts w:hint="eastAsia" w:ascii="宋体" w:hAnsi="宋体"/>
              </w:rPr>
              <w:t>③</w:t>
            </w:r>
            <w:r>
              <w:rPr>
                <w:rFonts w:hint="eastAsia"/>
              </w:rPr>
              <w:t>混凝土预制构件结构性能检测、</w:t>
            </w:r>
            <w:r>
              <w:rPr>
                <w:rFonts w:hint="eastAsia" w:ascii="宋体" w:hAnsi="宋体"/>
              </w:rPr>
              <w:t>④</w:t>
            </w:r>
            <w:r>
              <w:rPr>
                <w:rFonts w:hint="eastAsia"/>
              </w:rPr>
              <w:t>后置埋件的力学性能检测。</w:t>
            </w:r>
          </w:p>
          <w:p>
            <w:pPr>
              <w:pStyle w:val="31"/>
            </w:pPr>
            <w:r>
              <w:t>3</w:t>
            </w:r>
            <w:r>
              <w:rPr>
                <w:rFonts w:hint="eastAsia"/>
              </w:rPr>
              <w:t>、具有省级及以上质量监督管理部门颁发的计量认证资质(CMA)。</w:t>
            </w:r>
          </w:p>
        </w:tc>
      </w:tr>
    </w:tbl>
    <w:p>
      <w:pPr>
        <w:adjustRightInd w:val="0"/>
        <w:spacing w:line="400" w:lineRule="exact"/>
        <w:jc w:val="center"/>
        <w:rPr>
          <w:b/>
          <w:szCs w:val="24"/>
        </w:rPr>
      </w:pPr>
    </w:p>
    <w:p>
      <w:pPr>
        <w:adjustRightInd w:val="0"/>
        <w:spacing w:line="400" w:lineRule="exact"/>
        <w:jc w:val="center"/>
        <w:rPr>
          <w:b/>
          <w:szCs w:val="24"/>
        </w:rPr>
      </w:pPr>
      <w:r>
        <w:rPr>
          <w:b/>
          <w:szCs w:val="24"/>
        </w:rPr>
        <w:t>附录2 资格审查条件（</w:t>
      </w:r>
      <w:bookmarkStart w:id="6" w:name="_Hlk93740530"/>
      <w:r>
        <w:rPr>
          <w:b/>
          <w:szCs w:val="24"/>
        </w:rPr>
        <w:t>业绩最低要求</w:t>
      </w:r>
      <w:bookmarkEnd w:id="6"/>
      <w:r>
        <w:rPr>
          <w:b/>
          <w:szCs w:val="24"/>
        </w:rPr>
        <w:t>）</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vAlign w:val="center"/>
          </w:tcPr>
          <w:p>
            <w:pPr>
              <w:pStyle w:val="9"/>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9286" w:type="dxa"/>
            <w:vAlign w:val="center"/>
          </w:tcPr>
          <w:p>
            <w:pPr>
              <w:ind w:firstLine="315" w:firstLineChars="150"/>
              <w:jc w:val="left"/>
              <w:rPr>
                <w:sz w:val="21"/>
                <w:szCs w:val="21"/>
              </w:rPr>
            </w:pPr>
            <w:bookmarkStart w:id="7" w:name="_Hlk93740540"/>
            <w:r>
              <w:rPr>
                <w:rFonts w:hint="eastAsia"/>
                <w:sz w:val="21"/>
                <w:szCs w:val="21"/>
              </w:rPr>
              <w:t>1、</w:t>
            </w:r>
            <w:r>
              <w:rPr>
                <w:sz w:val="21"/>
                <w:szCs w:val="21"/>
              </w:rPr>
              <w:t>近5年（2019年3</w:t>
            </w:r>
            <w:r>
              <w:rPr>
                <w:rFonts w:hint="eastAsia"/>
                <w:sz w:val="21"/>
                <w:szCs w:val="21"/>
              </w:rPr>
              <w:t>月</w:t>
            </w:r>
            <w:r>
              <w:rPr>
                <w:sz w:val="21"/>
                <w:szCs w:val="21"/>
              </w:rPr>
              <w:t>1</w:t>
            </w:r>
            <w:r>
              <w:rPr>
                <w:rFonts w:hint="eastAsia"/>
                <w:sz w:val="21"/>
                <w:szCs w:val="21"/>
              </w:rPr>
              <w:t>日至投标截止时间</w:t>
            </w:r>
            <w:r>
              <w:rPr>
                <w:sz w:val="21"/>
                <w:szCs w:val="21"/>
              </w:rPr>
              <w:t>，以合同签订时间为准），至少具备1项面积不小于60000㎡的</w:t>
            </w:r>
            <w:r>
              <w:rPr>
                <w:rFonts w:hint="eastAsia"/>
                <w:sz w:val="21"/>
                <w:szCs w:val="21"/>
              </w:rPr>
              <w:t>楼体检测</w:t>
            </w:r>
            <w:r>
              <w:rPr>
                <w:sz w:val="21"/>
                <w:szCs w:val="21"/>
              </w:rPr>
              <w:t>业绩。</w:t>
            </w:r>
            <w:bookmarkEnd w:id="7"/>
          </w:p>
        </w:tc>
      </w:tr>
    </w:tbl>
    <w:p>
      <w:pPr>
        <w:adjustRightInd w:val="0"/>
        <w:spacing w:line="400" w:lineRule="exact"/>
        <w:jc w:val="center"/>
        <w:rPr>
          <w:b/>
          <w:szCs w:val="24"/>
        </w:rPr>
      </w:pPr>
    </w:p>
    <w:p>
      <w:pPr>
        <w:adjustRightInd w:val="0"/>
        <w:spacing w:line="400" w:lineRule="exact"/>
        <w:jc w:val="center"/>
        <w:rPr>
          <w:b/>
          <w:szCs w:val="24"/>
        </w:rPr>
      </w:pPr>
      <w:r>
        <w:rPr>
          <w:b/>
          <w:szCs w:val="24"/>
        </w:rPr>
        <w:t>附录3 资格审查条件（</w:t>
      </w:r>
      <w:bookmarkStart w:id="8" w:name="_Hlk93740552"/>
      <w:r>
        <w:rPr>
          <w:b/>
          <w:szCs w:val="24"/>
        </w:rPr>
        <w:t>信誉最低要求</w:t>
      </w:r>
      <w:bookmarkEnd w:id="8"/>
      <w:r>
        <w:rPr>
          <w:b/>
          <w:szCs w:val="24"/>
        </w:rPr>
        <w:t>）</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vAlign w:val="center"/>
          </w:tcPr>
          <w:p>
            <w:pPr>
              <w:pStyle w:val="9"/>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9286" w:type="dxa"/>
            <w:vAlign w:val="center"/>
          </w:tcPr>
          <w:p>
            <w:pPr>
              <w:pStyle w:val="31"/>
            </w:pPr>
            <w:r>
              <w:rPr>
                <w:rFonts w:hint="eastAsia"/>
              </w:rPr>
              <w:t>投标人在近1年内（202</w:t>
            </w:r>
            <w:r>
              <w:t>3</w:t>
            </w:r>
            <w:r>
              <w:rPr>
                <w:rFonts w:hint="eastAsia"/>
              </w:rPr>
              <w:t>年</w:t>
            </w:r>
            <w:r>
              <w:t>3</w:t>
            </w:r>
            <w:r>
              <w:rPr>
                <w:rFonts w:hint="eastAsia"/>
              </w:rPr>
              <w:t>月</w:t>
            </w:r>
            <w:r>
              <w:t>1</w:t>
            </w:r>
            <w:r>
              <w:rPr>
                <w:rFonts w:hint="eastAsia"/>
              </w:rPr>
              <w:t>日至投标截止时间）不曾在楼体检测项目中违约而被驱逐或因投标人自身的原因而使</w:t>
            </w:r>
            <w:r>
              <w:rPr>
                <w:rFonts w:hint="eastAsia"/>
                <w:szCs w:val="21"/>
              </w:rPr>
              <w:t>楼体检测项目合同</w:t>
            </w:r>
            <w:r>
              <w:rPr>
                <w:rFonts w:hint="eastAsia"/>
              </w:rPr>
              <w:t>被解除。</w:t>
            </w:r>
          </w:p>
        </w:tc>
      </w:tr>
    </w:tbl>
    <w:p>
      <w:pPr>
        <w:adjustRightInd w:val="0"/>
        <w:spacing w:line="400" w:lineRule="exact"/>
        <w:jc w:val="center"/>
        <w:rPr>
          <w:b/>
          <w:szCs w:val="24"/>
        </w:rPr>
      </w:pPr>
    </w:p>
    <w:p>
      <w:pPr>
        <w:adjustRightInd w:val="0"/>
        <w:spacing w:line="400" w:lineRule="exact"/>
        <w:jc w:val="center"/>
        <w:rPr>
          <w:b/>
          <w:szCs w:val="24"/>
        </w:rPr>
      </w:pPr>
      <w:r>
        <w:rPr>
          <w:b/>
          <w:szCs w:val="24"/>
        </w:rPr>
        <w:t xml:space="preserve">附录4 </w:t>
      </w:r>
      <w:bookmarkStart w:id="9" w:name="_Hlk515531639"/>
      <w:r>
        <w:rPr>
          <w:b/>
          <w:szCs w:val="24"/>
        </w:rPr>
        <w:t>资格审查条件（</w:t>
      </w:r>
      <w:bookmarkStart w:id="10" w:name="_Hlk93740569"/>
      <w:r>
        <w:rPr>
          <w:b/>
          <w:szCs w:val="24"/>
        </w:rPr>
        <w:t>项目负责人最低要求</w:t>
      </w:r>
      <w:bookmarkEnd w:id="10"/>
      <w:r>
        <w:rPr>
          <w:b/>
          <w:szCs w:val="24"/>
        </w:rPr>
        <w:t>）</w:t>
      </w:r>
      <w:bookmarkEnd w:id="9"/>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999"/>
        <w:gridCol w:w="6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668" w:type="dxa"/>
            <w:vAlign w:val="center"/>
          </w:tcPr>
          <w:p>
            <w:pPr>
              <w:pStyle w:val="9"/>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人   员</w:t>
            </w:r>
          </w:p>
        </w:tc>
        <w:tc>
          <w:tcPr>
            <w:tcW w:w="999" w:type="dxa"/>
            <w:vAlign w:val="center"/>
          </w:tcPr>
          <w:p>
            <w:pPr>
              <w:pStyle w:val="9"/>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数量</w:t>
            </w:r>
          </w:p>
        </w:tc>
        <w:tc>
          <w:tcPr>
            <w:tcW w:w="6619" w:type="dxa"/>
            <w:vAlign w:val="center"/>
          </w:tcPr>
          <w:p>
            <w:pPr>
              <w:pStyle w:val="9"/>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1668" w:type="dxa"/>
            <w:vAlign w:val="center"/>
          </w:tcPr>
          <w:p>
            <w:pPr>
              <w:jc w:val="center"/>
              <w:rPr>
                <w:sz w:val="21"/>
                <w:szCs w:val="21"/>
              </w:rPr>
            </w:pPr>
            <w:bookmarkStart w:id="11" w:name="_Hlk89162324"/>
            <w:r>
              <w:rPr>
                <w:sz w:val="21"/>
                <w:szCs w:val="21"/>
              </w:rPr>
              <w:t>项目负责人</w:t>
            </w:r>
            <w:bookmarkEnd w:id="11"/>
          </w:p>
        </w:tc>
        <w:tc>
          <w:tcPr>
            <w:tcW w:w="999" w:type="dxa"/>
            <w:vAlign w:val="center"/>
          </w:tcPr>
          <w:p>
            <w:pPr>
              <w:jc w:val="center"/>
              <w:rPr>
                <w:sz w:val="21"/>
                <w:szCs w:val="21"/>
              </w:rPr>
            </w:pPr>
            <w:r>
              <w:rPr>
                <w:sz w:val="21"/>
                <w:szCs w:val="21"/>
              </w:rPr>
              <w:t>1</w:t>
            </w:r>
          </w:p>
        </w:tc>
        <w:tc>
          <w:tcPr>
            <w:tcW w:w="6619" w:type="dxa"/>
            <w:vAlign w:val="center"/>
          </w:tcPr>
          <w:p>
            <w:pPr>
              <w:rPr>
                <w:sz w:val="21"/>
                <w:szCs w:val="21"/>
              </w:rPr>
            </w:pPr>
            <w:bookmarkStart w:id="12" w:name="_Hlk93740577"/>
            <w:r>
              <w:rPr>
                <w:rFonts w:hint="eastAsia"/>
                <w:sz w:val="21"/>
                <w:szCs w:val="21"/>
              </w:rPr>
              <w:t>高级工程师；</w:t>
            </w:r>
            <w:r>
              <w:rPr>
                <w:sz w:val="21"/>
                <w:szCs w:val="21"/>
              </w:rPr>
              <w:t>近5年内（</w:t>
            </w:r>
            <w:r>
              <w:rPr>
                <w:rFonts w:hint="eastAsia"/>
                <w:sz w:val="21"/>
                <w:szCs w:val="21"/>
              </w:rPr>
              <w:t>20</w:t>
            </w:r>
            <w:r>
              <w:rPr>
                <w:sz w:val="21"/>
                <w:szCs w:val="21"/>
              </w:rPr>
              <w:t>19</w:t>
            </w:r>
            <w:r>
              <w:rPr>
                <w:rFonts w:hint="eastAsia"/>
                <w:sz w:val="21"/>
                <w:szCs w:val="21"/>
              </w:rPr>
              <w:t>年</w:t>
            </w:r>
            <w:r>
              <w:rPr>
                <w:sz w:val="21"/>
                <w:szCs w:val="21"/>
              </w:rPr>
              <w:t>3</w:t>
            </w:r>
            <w:r>
              <w:rPr>
                <w:rFonts w:hint="eastAsia"/>
                <w:sz w:val="21"/>
                <w:szCs w:val="21"/>
              </w:rPr>
              <w:t>月</w:t>
            </w:r>
            <w:r>
              <w:rPr>
                <w:sz w:val="21"/>
                <w:szCs w:val="21"/>
              </w:rPr>
              <w:t>1</w:t>
            </w:r>
            <w:r>
              <w:rPr>
                <w:rFonts w:hint="eastAsia"/>
                <w:sz w:val="21"/>
                <w:szCs w:val="21"/>
              </w:rPr>
              <w:t>日至投标截止时间</w:t>
            </w:r>
            <w:r>
              <w:rPr>
                <w:sz w:val="21"/>
                <w:szCs w:val="21"/>
              </w:rPr>
              <w:t>，以合同签订时间为准）</w:t>
            </w:r>
            <w:r>
              <w:rPr>
                <w:rFonts w:hint="eastAsia"/>
                <w:sz w:val="21"/>
                <w:szCs w:val="21"/>
              </w:rPr>
              <w:t>至少担任过1</w:t>
            </w:r>
            <w:r>
              <w:rPr>
                <w:sz w:val="21"/>
                <w:szCs w:val="21"/>
              </w:rPr>
              <w:t>项面积不小于60000㎡的</w:t>
            </w:r>
            <w:r>
              <w:rPr>
                <w:rFonts w:hint="eastAsia"/>
                <w:sz w:val="21"/>
                <w:szCs w:val="21"/>
              </w:rPr>
              <w:t>楼体检测项目的</w:t>
            </w:r>
            <w:r>
              <w:rPr>
                <w:sz w:val="21"/>
                <w:szCs w:val="21"/>
              </w:rPr>
              <w:t>项目负责人</w:t>
            </w:r>
            <w:bookmarkEnd w:id="12"/>
            <w:r>
              <w:rPr>
                <w:sz w:val="21"/>
                <w:szCs w:val="21"/>
              </w:rPr>
              <w:t>。</w:t>
            </w:r>
          </w:p>
        </w:tc>
      </w:tr>
    </w:tbl>
    <w:p>
      <w:pPr>
        <w:spacing w:line="360" w:lineRule="auto"/>
        <w:ind w:firstLine="480" w:firstLineChars="200"/>
      </w:pPr>
      <w:r>
        <w:br w:type="page"/>
      </w:r>
    </w:p>
    <w:p>
      <w:pPr>
        <w:pStyle w:val="8"/>
        <w:ind w:left="1440"/>
      </w:pPr>
    </w:p>
    <w:p>
      <w:pPr>
        <w:adjustRightInd w:val="0"/>
        <w:spacing w:line="400" w:lineRule="exact"/>
        <w:jc w:val="left"/>
        <w:rPr>
          <w:b/>
        </w:rPr>
      </w:pPr>
      <w:r>
        <w:rPr>
          <w:b/>
        </w:rPr>
        <w:t>附件2：评标办法</w:t>
      </w:r>
    </w:p>
    <w:p>
      <w:pPr>
        <w:pStyle w:val="25"/>
        <w:spacing w:line="276" w:lineRule="auto"/>
        <w:ind w:firstLine="600"/>
        <w:rPr>
          <w:rFonts w:ascii="Times New Roman" w:hAnsi="Times New Roman" w:eastAsia="宋体"/>
          <w:sz w:val="30"/>
          <w:szCs w:val="30"/>
        </w:rPr>
      </w:pPr>
      <w:bookmarkStart w:id="13" w:name="_Hlk93740604"/>
      <w:bookmarkStart w:id="14" w:name="_Toc509660966"/>
      <w:bookmarkStart w:id="15" w:name="_Toc514238202"/>
      <w:bookmarkStart w:id="16" w:name="_Toc29658"/>
      <w:bookmarkStart w:id="17" w:name="_Toc459307890"/>
      <w:bookmarkStart w:id="18" w:name="_Toc450319202"/>
      <w:bookmarkStart w:id="19" w:name="_Toc1648"/>
      <w:bookmarkStart w:id="20" w:name="_Toc141866292"/>
      <w:bookmarkStart w:id="21" w:name="_Toc502992691"/>
      <w:bookmarkStart w:id="22" w:name="_Toc509659998"/>
      <w:bookmarkStart w:id="23" w:name="_Toc444088432"/>
      <w:bookmarkStart w:id="24" w:name="_Toc445222503"/>
      <w:bookmarkStart w:id="25" w:name="_Toc444271617"/>
      <w:bookmarkStart w:id="26" w:name="_Toc445382083"/>
      <w:r>
        <w:rPr>
          <w:rFonts w:ascii="Times New Roman" w:hAnsi="Times New Roman" w:eastAsia="宋体"/>
          <w:sz w:val="30"/>
          <w:szCs w:val="30"/>
        </w:rPr>
        <w:t>评标办法</w:t>
      </w:r>
      <w:bookmarkEnd w:id="13"/>
      <w:r>
        <w:rPr>
          <w:rFonts w:ascii="Times New Roman" w:hAnsi="Times New Roman" w:eastAsia="宋体"/>
          <w:sz w:val="30"/>
          <w:szCs w:val="30"/>
        </w:rPr>
        <w:t>（综合评估法）</w:t>
      </w:r>
      <w:bookmarkEnd w:id="14"/>
      <w:bookmarkEnd w:id="15"/>
      <w:bookmarkEnd w:id="16"/>
      <w:bookmarkEnd w:id="17"/>
      <w:bookmarkEnd w:id="18"/>
      <w:bookmarkEnd w:id="19"/>
      <w:bookmarkEnd w:id="20"/>
      <w:bookmarkEnd w:id="21"/>
      <w:bookmarkEnd w:id="22"/>
    </w:p>
    <w:bookmarkEnd w:id="1"/>
    <w:bookmarkEnd w:id="2"/>
    <w:bookmarkEnd w:id="23"/>
    <w:bookmarkEnd w:id="24"/>
    <w:bookmarkEnd w:id="25"/>
    <w:bookmarkEnd w:id="26"/>
    <w:p>
      <w:pPr>
        <w:pStyle w:val="25"/>
        <w:spacing w:line="276" w:lineRule="auto"/>
        <w:rPr>
          <w:rFonts w:ascii="Times New Roman" w:hAnsi="Times New Roman" w:eastAsia="宋体"/>
          <w:sz w:val="24"/>
          <w:szCs w:val="30"/>
        </w:rPr>
      </w:pPr>
      <w:bookmarkStart w:id="27" w:name="_Toc514238203"/>
      <w:bookmarkStart w:id="28" w:name="_Toc141866293"/>
      <w:bookmarkStart w:id="29" w:name="_Toc3660"/>
      <w:bookmarkStart w:id="30" w:name="_Toc3599"/>
      <w:r>
        <w:rPr>
          <w:rFonts w:ascii="Times New Roman" w:hAnsi="Times New Roman" w:eastAsia="宋体"/>
          <w:sz w:val="24"/>
          <w:szCs w:val="30"/>
        </w:rPr>
        <w:t>评标办法前附表</w:t>
      </w:r>
      <w:bookmarkEnd w:id="27"/>
      <w:bookmarkEnd w:id="28"/>
      <w:bookmarkEnd w:id="29"/>
      <w:bookmarkEnd w:id="30"/>
      <w:bookmarkStart w:id="31" w:name="_Toc476561971"/>
      <w:bookmarkStart w:id="32" w:name="_Toc456619522"/>
      <w:bookmarkStart w:id="33" w:name="_Toc472700283"/>
      <w:bookmarkStart w:id="34" w:name="_Toc478141167"/>
      <w:bookmarkStart w:id="35" w:name="_Toc45930789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52"/>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41" w:type="dxa"/>
            <w:vAlign w:val="center"/>
          </w:tcPr>
          <w:p>
            <w:pPr>
              <w:adjustRightInd w:val="0"/>
              <w:snapToGrid w:val="0"/>
              <w:jc w:val="center"/>
              <w:rPr>
                <w:sz w:val="21"/>
                <w:szCs w:val="21"/>
              </w:rPr>
            </w:pPr>
            <w:r>
              <w:rPr>
                <w:sz w:val="21"/>
                <w:szCs w:val="21"/>
              </w:rPr>
              <w:t>条款号</w:t>
            </w:r>
          </w:p>
        </w:tc>
        <w:tc>
          <w:tcPr>
            <w:tcW w:w="1052" w:type="dxa"/>
            <w:vAlign w:val="center"/>
          </w:tcPr>
          <w:p>
            <w:pPr>
              <w:adjustRightInd w:val="0"/>
              <w:snapToGrid w:val="0"/>
              <w:jc w:val="center"/>
              <w:rPr>
                <w:sz w:val="21"/>
                <w:szCs w:val="21"/>
              </w:rPr>
            </w:pPr>
            <w:r>
              <w:rPr>
                <w:sz w:val="21"/>
                <w:szCs w:val="21"/>
              </w:rPr>
              <w:t>条款名称</w:t>
            </w:r>
          </w:p>
        </w:tc>
        <w:tc>
          <w:tcPr>
            <w:tcW w:w="7250" w:type="dxa"/>
            <w:vAlign w:val="center"/>
          </w:tcPr>
          <w:p>
            <w:pPr>
              <w:adjustRightInd w:val="0"/>
              <w:snapToGrid w:val="0"/>
              <w:jc w:val="center"/>
              <w:rPr>
                <w:sz w:val="21"/>
                <w:szCs w:val="21"/>
              </w:rPr>
            </w:pPr>
            <w:r>
              <w:rPr>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41" w:type="dxa"/>
            <w:vAlign w:val="center"/>
          </w:tcPr>
          <w:p>
            <w:pPr>
              <w:adjustRightInd w:val="0"/>
              <w:snapToGrid w:val="0"/>
              <w:jc w:val="center"/>
              <w:rPr>
                <w:sz w:val="21"/>
                <w:szCs w:val="21"/>
              </w:rPr>
            </w:pPr>
            <w:r>
              <w:rPr>
                <w:sz w:val="21"/>
                <w:szCs w:val="21"/>
              </w:rPr>
              <w:t>1</w:t>
            </w:r>
          </w:p>
        </w:tc>
        <w:tc>
          <w:tcPr>
            <w:tcW w:w="1052" w:type="dxa"/>
            <w:vAlign w:val="center"/>
          </w:tcPr>
          <w:p>
            <w:pPr>
              <w:adjustRightInd w:val="0"/>
              <w:snapToGrid w:val="0"/>
              <w:jc w:val="center"/>
              <w:rPr>
                <w:sz w:val="21"/>
                <w:szCs w:val="21"/>
              </w:rPr>
            </w:pPr>
            <w:r>
              <w:rPr>
                <w:sz w:val="21"/>
                <w:szCs w:val="21"/>
              </w:rPr>
              <w:t>评标办法</w:t>
            </w:r>
          </w:p>
        </w:tc>
        <w:tc>
          <w:tcPr>
            <w:tcW w:w="7250" w:type="dxa"/>
            <w:vAlign w:val="center"/>
          </w:tcPr>
          <w:p>
            <w:pPr>
              <w:adjustRightInd w:val="0"/>
              <w:snapToGrid w:val="0"/>
              <w:jc w:val="left"/>
              <w:rPr>
                <w:spacing w:val="-4"/>
                <w:sz w:val="21"/>
                <w:szCs w:val="21"/>
              </w:rPr>
            </w:pPr>
            <w:r>
              <w:rPr>
                <w:spacing w:val="-4"/>
                <w:sz w:val="21"/>
                <w:szCs w:val="21"/>
              </w:rPr>
              <w:t>本次评标采用综合评估法，评标委员会对满足招标文件实质性要求的投标文件，按照本章第2.2款规定的评分标准进行打分，并按综合得分由高到低顺序推荐1-3名中标候选人。当综合评分相等时，评标委员会依次按照以下优先顺序推荐中标候选人：</w:t>
            </w:r>
          </w:p>
          <w:p>
            <w:pPr>
              <w:adjustRightInd w:val="0"/>
              <w:snapToGrid w:val="0"/>
              <w:jc w:val="left"/>
              <w:rPr>
                <w:spacing w:val="-4"/>
                <w:sz w:val="21"/>
                <w:szCs w:val="21"/>
              </w:rPr>
            </w:pPr>
            <w:r>
              <w:rPr>
                <w:spacing w:val="-4"/>
                <w:sz w:val="21"/>
                <w:szCs w:val="21"/>
              </w:rPr>
              <w:t>（1）评标价低的投标人优先；</w:t>
            </w:r>
          </w:p>
          <w:p>
            <w:pPr>
              <w:adjustRightInd w:val="0"/>
              <w:snapToGrid w:val="0"/>
              <w:jc w:val="left"/>
              <w:rPr>
                <w:spacing w:val="-4"/>
                <w:sz w:val="21"/>
                <w:szCs w:val="21"/>
              </w:rPr>
            </w:pPr>
            <w:r>
              <w:rPr>
                <w:spacing w:val="-4"/>
                <w:sz w:val="21"/>
                <w:szCs w:val="21"/>
              </w:rPr>
              <w:t>（2）技术建议书得分较高的投标人优先；</w:t>
            </w:r>
          </w:p>
          <w:p>
            <w:pPr>
              <w:adjustRightInd w:val="0"/>
              <w:snapToGrid w:val="0"/>
              <w:jc w:val="left"/>
              <w:rPr>
                <w:spacing w:val="-4"/>
                <w:sz w:val="21"/>
                <w:szCs w:val="21"/>
              </w:rPr>
            </w:pPr>
            <w:r>
              <w:rPr>
                <w:spacing w:val="-4"/>
                <w:sz w:val="21"/>
                <w:szCs w:val="21"/>
              </w:rPr>
              <w:t>（3）</w:t>
            </w:r>
            <w:r>
              <w:rPr>
                <w:rFonts w:hint="eastAsia"/>
                <w:spacing w:val="-4"/>
                <w:sz w:val="21"/>
                <w:szCs w:val="21"/>
              </w:rPr>
              <w:t>满足资格审查条件（业绩最低要求）要求的业绩累计合同金额高的优先</w:t>
            </w:r>
            <w:r>
              <w:rPr>
                <w:spacing w:val="-4"/>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41" w:type="dxa"/>
            <w:vAlign w:val="center"/>
          </w:tcPr>
          <w:p>
            <w:pPr>
              <w:adjustRightInd w:val="0"/>
              <w:snapToGrid w:val="0"/>
              <w:jc w:val="center"/>
              <w:rPr>
                <w:sz w:val="21"/>
                <w:szCs w:val="21"/>
              </w:rPr>
            </w:pPr>
            <w:r>
              <w:rPr>
                <w:sz w:val="21"/>
                <w:szCs w:val="21"/>
              </w:rPr>
              <w:t>2.1.1</w:t>
            </w:r>
          </w:p>
          <w:p>
            <w:pPr>
              <w:adjustRightInd w:val="0"/>
              <w:snapToGrid w:val="0"/>
              <w:jc w:val="center"/>
              <w:rPr>
                <w:sz w:val="21"/>
                <w:szCs w:val="21"/>
              </w:rPr>
            </w:pPr>
            <w:r>
              <w:rPr>
                <w:sz w:val="21"/>
                <w:szCs w:val="21"/>
              </w:rPr>
              <w:t>2.1.3</w:t>
            </w:r>
          </w:p>
        </w:tc>
        <w:tc>
          <w:tcPr>
            <w:tcW w:w="1052" w:type="dxa"/>
            <w:vAlign w:val="center"/>
          </w:tcPr>
          <w:p>
            <w:pPr>
              <w:adjustRightInd w:val="0"/>
              <w:snapToGrid w:val="0"/>
              <w:jc w:val="center"/>
              <w:rPr>
                <w:sz w:val="21"/>
                <w:szCs w:val="21"/>
              </w:rPr>
            </w:pPr>
            <w:r>
              <w:rPr>
                <w:sz w:val="21"/>
                <w:szCs w:val="21"/>
              </w:rPr>
              <w:t>形式评审与响应性评审标准</w:t>
            </w:r>
          </w:p>
        </w:tc>
        <w:tc>
          <w:tcPr>
            <w:tcW w:w="7250" w:type="dxa"/>
          </w:tcPr>
          <w:p>
            <w:pPr>
              <w:tabs>
                <w:tab w:val="left" w:pos="3060"/>
              </w:tabs>
              <w:adjustRightInd w:val="0"/>
              <w:snapToGrid w:val="0"/>
              <w:rPr>
                <w:b/>
                <w:sz w:val="21"/>
                <w:szCs w:val="21"/>
              </w:rPr>
            </w:pPr>
            <w:r>
              <w:rPr>
                <w:b/>
                <w:sz w:val="21"/>
                <w:szCs w:val="21"/>
              </w:rPr>
              <w:t>第一个信封（商务及技术文件）评审标准：</w:t>
            </w:r>
          </w:p>
          <w:p>
            <w:pPr>
              <w:tabs>
                <w:tab w:val="left" w:pos="3060"/>
              </w:tabs>
              <w:adjustRightInd w:val="0"/>
              <w:snapToGrid w:val="0"/>
              <w:rPr>
                <w:bCs/>
                <w:sz w:val="21"/>
                <w:szCs w:val="21"/>
              </w:rPr>
            </w:pPr>
            <w:r>
              <w:rPr>
                <w:bCs/>
                <w:sz w:val="21"/>
                <w:szCs w:val="21"/>
              </w:rPr>
              <w:t>（1）投标文件按照招标文件规定的格式、内容填写，字迹清晰可辨：</w:t>
            </w:r>
          </w:p>
          <w:p>
            <w:pPr>
              <w:tabs>
                <w:tab w:val="left" w:pos="3060"/>
              </w:tabs>
              <w:adjustRightInd w:val="0"/>
              <w:snapToGrid w:val="0"/>
              <w:rPr>
                <w:bCs/>
                <w:sz w:val="21"/>
                <w:szCs w:val="21"/>
              </w:rPr>
            </w:pPr>
            <w:r>
              <w:rPr>
                <w:bCs/>
                <w:sz w:val="21"/>
                <w:szCs w:val="21"/>
              </w:rPr>
              <w:t>a.投标函按招标文件规定填报了补遗书编号（如有）、</w:t>
            </w:r>
            <w:r>
              <w:rPr>
                <w:sz w:val="21"/>
                <w:szCs w:val="21"/>
              </w:rPr>
              <w:t>项目负责人</w:t>
            </w:r>
            <w:r>
              <w:rPr>
                <w:bCs/>
                <w:sz w:val="21"/>
                <w:szCs w:val="21"/>
              </w:rPr>
              <w:t>，未对项目名称、质量要求、安全目标、服务期限进行修改；</w:t>
            </w:r>
          </w:p>
          <w:p>
            <w:pPr>
              <w:tabs>
                <w:tab w:val="left" w:pos="3060"/>
              </w:tabs>
              <w:adjustRightInd w:val="0"/>
              <w:snapToGrid w:val="0"/>
              <w:rPr>
                <w:bCs/>
                <w:sz w:val="21"/>
                <w:szCs w:val="21"/>
              </w:rPr>
            </w:pPr>
            <w:r>
              <w:rPr>
                <w:bCs/>
                <w:sz w:val="21"/>
                <w:szCs w:val="21"/>
              </w:rPr>
              <w:t>b.投标文件组成齐全完整，内容均按规定填写。</w:t>
            </w:r>
          </w:p>
          <w:p>
            <w:pPr>
              <w:tabs>
                <w:tab w:val="left" w:pos="3060"/>
              </w:tabs>
              <w:adjustRightInd w:val="0"/>
              <w:snapToGrid w:val="0"/>
              <w:rPr>
                <w:bCs/>
                <w:sz w:val="21"/>
                <w:szCs w:val="21"/>
              </w:rPr>
            </w:pPr>
            <w:r>
              <w:rPr>
                <w:bCs/>
                <w:sz w:val="21"/>
                <w:szCs w:val="21"/>
              </w:rPr>
              <w:t>（2）投标文件上法定代表人或其授权代理人的签字、投标人的单位章盖章齐全，符合招标文件规定。</w:t>
            </w:r>
          </w:p>
          <w:p>
            <w:pPr>
              <w:tabs>
                <w:tab w:val="left" w:pos="3060"/>
              </w:tabs>
              <w:adjustRightInd w:val="0"/>
              <w:snapToGrid w:val="0"/>
              <w:rPr>
                <w:sz w:val="21"/>
                <w:szCs w:val="21"/>
              </w:rPr>
            </w:pPr>
            <w:r>
              <w:rPr>
                <w:sz w:val="21"/>
                <w:szCs w:val="21"/>
              </w:rPr>
              <w:t>（3）投标人按照招标文件</w:t>
            </w:r>
            <w:r>
              <w:rPr>
                <w:rFonts w:hint="eastAsia"/>
                <w:sz w:val="21"/>
                <w:szCs w:val="21"/>
              </w:rPr>
              <w:t>第二章投标人须知前附表3.4.1</w:t>
            </w:r>
            <w:r>
              <w:rPr>
                <w:sz w:val="21"/>
                <w:szCs w:val="21"/>
              </w:rPr>
              <w:t>的规定提供了投标保证金</w:t>
            </w:r>
            <w:r>
              <w:rPr>
                <w:rFonts w:hint="eastAsia"/>
                <w:sz w:val="21"/>
                <w:szCs w:val="21"/>
              </w:rPr>
              <w:t>。</w:t>
            </w:r>
          </w:p>
          <w:p>
            <w:pPr>
              <w:tabs>
                <w:tab w:val="left" w:pos="3060"/>
              </w:tabs>
              <w:adjustRightInd w:val="0"/>
              <w:snapToGrid w:val="0"/>
              <w:rPr>
                <w:sz w:val="21"/>
                <w:szCs w:val="21"/>
              </w:rPr>
            </w:pPr>
            <w:r>
              <w:rPr>
                <w:sz w:val="21"/>
                <w:szCs w:val="21"/>
              </w:rPr>
              <w:t>（4）投标人法定代表人授权委托代理人签署投标文件的，须提交授权委托书，并符合下列要求：</w:t>
            </w:r>
          </w:p>
          <w:p>
            <w:pPr>
              <w:tabs>
                <w:tab w:val="left" w:pos="3060"/>
              </w:tabs>
              <w:adjustRightInd w:val="0"/>
              <w:snapToGrid w:val="0"/>
              <w:rPr>
                <w:sz w:val="21"/>
                <w:szCs w:val="21"/>
              </w:rPr>
            </w:pPr>
            <w:r>
              <w:rPr>
                <w:sz w:val="21"/>
                <w:szCs w:val="21"/>
              </w:rPr>
              <w:t>a.法定代表人和委托代理人均在授权书上签名；</w:t>
            </w:r>
          </w:p>
          <w:p>
            <w:pPr>
              <w:tabs>
                <w:tab w:val="left" w:pos="3060"/>
              </w:tabs>
              <w:adjustRightInd w:val="0"/>
              <w:snapToGrid w:val="0"/>
              <w:rPr>
                <w:sz w:val="21"/>
                <w:szCs w:val="21"/>
              </w:rPr>
            </w:pPr>
            <w:r>
              <w:rPr>
                <w:sz w:val="21"/>
                <w:szCs w:val="21"/>
              </w:rPr>
              <w:t>b.投标函签署的日期与授权委托书出具的日期同日或在其之后，并与投标截止时间同日或在其之前；</w:t>
            </w:r>
          </w:p>
          <w:p>
            <w:pPr>
              <w:tabs>
                <w:tab w:val="left" w:pos="3060"/>
              </w:tabs>
              <w:adjustRightInd w:val="0"/>
              <w:snapToGrid w:val="0"/>
              <w:rPr>
                <w:sz w:val="21"/>
                <w:szCs w:val="21"/>
              </w:rPr>
            </w:pPr>
            <w:r>
              <w:rPr>
                <w:sz w:val="21"/>
                <w:szCs w:val="21"/>
              </w:rPr>
              <w:t>c.授权委托书只能授权给一名委托代理人。</w:t>
            </w:r>
          </w:p>
          <w:p>
            <w:pPr>
              <w:tabs>
                <w:tab w:val="left" w:pos="3060"/>
              </w:tabs>
              <w:adjustRightInd w:val="0"/>
              <w:snapToGrid w:val="0"/>
              <w:rPr>
                <w:sz w:val="21"/>
                <w:szCs w:val="21"/>
              </w:rPr>
            </w:pPr>
            <w:r>
              <w:rPr>
                <w:sz w:val="21"/>
                <w:szCs w:val="21"/>
              </w:rPr>
              <w:t>（5）投标人法定代表人亲自签署投标文件的，提供了法定代表人身份证明，并符合招标文件的规定。</w:t>
            </w:r>
          </w:p>
          <w:p>
            <w:pPr>
              <w:tabs>
                <w:tab w:val="left" w:pos="3060"/>
              </w:tabs>
              <w:adjustRightInd w:val="0"/>
              <w:snapToGrid w:val="0"/>
              <w:rPr>
                <w:sz w:val="21"/>
                <w:szCs w:val="21"/>
              </w:rPr>
            </w:pPr>
            <w:r>
              <w:rPr>
                <w:sz w:val="21"/>
                <w:szCs w:val="21"/>
              </w:rPr>
              <w:t>（6）投标人未以联合体形式投标。</w:t>
            </w:r>
          </w:p>
          <w:p>
            <w:pPr>
              <w:tabs>
                <w:tab w:val="left" w:pos="3060"/>
              </w:tabs>
              <w:adjustRightInd w:val="0"/>
              <w:snapToGrid w:val="0"/>
              <w:rPr>
                <w:sz w:val="21"/>
                <w:szCs w:val="21"/>
              </w:rPr>
            </w:pPr>
            <w:r>
              <w:rPr>
                <w:sz w:val="21"/>
                <w:szCs w:val="21"/>
              </w:rPr>
              <w:t>（7）投标人</w:t>
            </w:r>
            <w:r>
              <w:rPr>
                <w:rFonts w:hint="eastAsia"/>
                <w:sz w:val="21"/>
                <w:szCs w:val="21"/>
              </w:rPr>
              <w:t>未提出</w:t>
            </w:r>
            <w:r>
              <w:rPr>
                <w:sz w:val="21"/>
                <w:szCs w:val="21"/>
              </w:rPr>
              <w:t>分包计划。</w:t>
            </w:r>
          </w:p>
          <w:p>
            <w:pPr>
              <w:tabs>
                <w:tab w:val="left" w:pos="3060"/>
              </w:tabs>
              <w:adjustRightInd w:val="0"/>
              <w:snapToGrid w:val="0"/>
              <w:rPr>
                <w:sz w:val="21"/>
                <w:szCs w:val="21"/>
              </w:rPr>
            </w:pPr>
            <w:r>
              <w:rPr>
                <w:sz w:val="21"/>
                <w:szCs w:val="21"/>
              </w:rPr>
              <w:t>（8）同一投标人未提交两个以上不同的投标文件。</w:t>
            </w:r>
          </w:p>
          <w:p>
            <w:pPr>
              <w:tabs>
                <w:tab w:val="left" w:pos="3060"/>
              </w:tabs>
              <w:adjustRightInd w:val="0"/>
              <w:snapToGrid w:val="0"/>
              <w:rPr>
                <w:sz w:val="21"/>
                <w:szCs w:val="21"/>
              </w:rPr>
            </w:pPr>
            <w:r>
              <w:rPr>
                <w:sz w:val="21"/>
                <w:szCs w:val="21"/>
              </w:rPr>
              <w:t>（9）投标文件中未出现有关投标报价的内容。</w:t>
            </w:r>
          </w:p>
          <w:p>
            <w:pPr>
              <w:tabs>
                <w:tab w:val="left" w:pos="3060"/>
              </w:tabs>
              <w:adjustRightInd w:val="0"/>
              <w:snapToGrid w:val="0"/>
              <w:rPr>
                <w:sz w:val="21"/>
                <w:szCs w:val="21"/>
              </w:rPr>
            </w:pPr>
            <w:r>
              <w:rPr>
                <w:sz w:val="21"/>
                <w:szCs w:val="21"/>
              </w:rPr>
              <w:t>（10）投标文件载明的招标项目完成期限未超过招标文件规定。</w:t>
            </w:r>
          </w:p>
          <w:p>
            <w:pPr>
              <w:tabs>
                <w:tab w:val="left" w:pos="3060"/>
              </w:tabs>
              <w:adjustRightInd w:val="0"/>
              <w:snapToGrid w:val="0"/>
              <w:rPr>
                <w:sz w:val="21"/>
                <w:szCs w:val="21"/>
              </w:rPr>
            </w:pPr>
            <w:r>
              <w:rPr>
                <w:sz w:val="21"/>
                <w:szCs w:val="21"/>
              </w:rPr>
              <w:t>（11）投标文件对招标文件的实质性要求和条件作出响应。</w:t>
            </w:r>
          </w:p>
          <w:p>
            <w:pPr>
              <w:tabs>
                <w:tab w:val="left" w:pos="3060"/>
              </w:tabs>
              <w:adjustRightInd w:val="0"/>
              <w:snapToGrid w:val="0"/>
              <w:rPr>
                <w:sz w:val="21"/>
                <w:szCs w:val="21"/>
              </w:rPr>
            </w:pPr>
            <w:r>
              <w:rPr>
                <w:sz w:val="21"/>
                <w:szCs w:val="21"/>
              </w:rPr>
              <w:t>（12）权利义务符合招标文件规定：</w:t>
            </w:r>
          </w:p>
          <w:p>
            <w:pPr>
              <w:tabs>
                <w:tab w:val="left" w:pos="3060"/>
              </w:tabs>
              <w:adjustRightInd w:val="0"/>
              <w:snapToGrid w:val="0"/>
              <w:rPr>
                <w:sz w:val="21"/>
                <w:szCs w:val="21"/>
              </w:rPr>
            </w:pPr>
            <w:r>
              <w:rPr>
                <w:sz w:val="21"/>
                <w:szCs w:val="21"/>
              </w:rPr>
              <w:t>a.投标人应接受招标文件规定的风险划分原则，未提出新的风险划分办法；</w:t>
            </w:r>
          </w:p>
          <w:p>
            <w:pPr>
              <w:tabs>
                <w:tab w:val="left" w:pos="3060"/>
              </w:tabs>
              <w:adjustRightInd w:val="0"/>
              <w:snapToGrid w:val="0"/>
              <w:rPr>
                <w:sz w:val="21"/>
                <w:szCs w:val="21"/>
              </w:rPr>
            </w:pPr>
            <w:r>
              <w:rPr>
                <w:sz w:val="21"/>
                <w:szCs w:val="21"/>
              </w:rPr>
              <w:t>b.投标人未增加发包人的责任范围，或减少投标人义务；</w:t>
            </w:r>
          </w:p>
          <w:p>
            <w:pPr>
              <w:tabs>
                <w:tab w:val="left" w:pos="3060"/>
              </w:tabs>
              <w:adjustRightInd w:val="0"/>
              <w:snapToGrid w:val="0"/>
              <w:rPr>
                <w:sz w:val="21"/>
                <w:szCs w:val="21"/>
              </w:rPr>
            </w:pPr>
            <w:r>
              <w:rPr>
                <w:sz w:val="21"/>
                <w:szCs w:val="21"/>
              </w:rPr>
              <w:t>c.投标人未提出不同的支付办法；</w:t>
            </w:r>
          </w:p>
          <w:p>
            <w:pPr>
              <w:tabs>
                <w:tab w:val="left" w:pos="3060"/>
              </w:tabs>
              <w:adjustRightInd w:val="0"/>
              <w:snapToGrid w:val="0"/>
              <w:rPr>
                <w:sz w:val="21"/>
                <w:szCs w:val="21"/>
              </w:rPr>
            </w:pPr>
            <w:r>
              <w:rPr>
                <w:sz w:val="21"/>
                <w:szCs w:val="21"/>
              </w:rPr>
              <w:t>d.投标人对合同纠纷、事故处理办法未提出异议；</w:t>
            </w:r>
          </w:p>
          <w:p>
            <w:pPr>
              <w:tabs>
                <w:tab w:val="left" w:pos="3060"/>
              </w:tabs>
              <w:adjustRightInd w:val="0"/>
              <w:snapToGrid w:val="0"/>
              <w:rPr>
                <w:sz w:val="21"/>
                <w:szCs w:val="21"/>
              </w:rPr>
            </w:pPr>
            <w:r>
              <w:rPr>
                <w:sz w:val="21"/>
                <w:szCs w:val="21"/>
              </w:rPr>
              <w:t>e.投标人在投标活动中无欺诈行为；</w:t>
            </w:r>
          </w:p>
          <w:p>
            <w:pPr>
              <w:tabs>
                <w:tab w:val="left" w:pos="3060"/>
              </w:tabs>
              <w:adjustRightInd w:val="0"/>
              <w:snapToGrid w:val="0"/>
              <w:rPr>
                <w:sz w:val="21"/>
                <w:szCs w:val="21"/>
              </w:rPr>
            </w:pPr>
            <w:r>
              <w:rPr>
                <w:sz w:val="21"/>
                <w:szCs w:val="21"/>
              </w:rPr>
              <w:t>f.投标人未对合同条款有重要保留。</w:t>
            </w:r>
          </w:p>
          <w:p>
            <w:pPr>
              <w:tabs>
                <w:tab w:val="left" w:pos="3060"/>
              </w:tabs>
              <w:adjustRightInd w:val="0"/>
              <w:snapToGrid w:val="0"/>
              <w:rPr>
                <w:b/>
                <w:sz w:val="21"/>
                <w:szCs w:val="21"/>
              </w:rPr>
            </w:pPr>
            <w:bookmarkStart w:id="36" w:name="_Hlk93740610"/>
            <w:r>
              <w:rPr>
                <w:b/>
                <w:sz w:val="21"/>
                <w:szCs w:val="21"/>
              </w:rPr>
              <w:t>第二个信封（报价文件）评审标准：</w:t>
            </w:r>
          </w:p>
          <w:bookmarkEnd w:id="36"/>
          <w:p>
            <w:pPr>
              <w:tabs>
                <w:tab w:val="left" w:pos="3060"/>
              </w:tabs>
              <w:adjustRightInd w:val="0"/>
              <w:snapToGrid w:val="0"/>
              <w:rPr>
                <w:bCs/>
                <w:sz w:val="21"/>
                <w:szCs w:val="21"/>
              </w:rPr>
            </w:pPr>
            <w:r>
              <w:rPr>
                <w:bCs/>
                <w:sz w:val="21"/>
                <w:szCs w:val="21"/>
              </w:rPr>
              <w:t>（1）投标文件按照招标文件规定的格式、内容填写，字迹清晰可辨，内容齐全完整。</w:t>
            </w:r>
          </w:p>
          <w:p>
            <w:pPr>
              <w:tabs>
                <w:tab w:val="left" w:pos="3060"/>
              </w:tabs>
              <w:adjustRightInd w:val="0"/>
              <w:snapToGrid w:val="0"/>
              <w:rPr>
                <w:bCs/>
                <w:sz w:val="21"/>
                <w:szCs w:val="21"/>
              </w:rPr>
            </w:pPr>
            <w:r>
              <w:rPr>
                <w:bCs/>
                <w:sz w:val="21"/>
                <w:szCs w:val="21"/>
              </w:rPr>
              <w:t>a.投标函按招标文件规定填报了补遗书编号（如有）、投标价（包括大写金额和小写金额），未对项目名称进行修改；</w:t>
            </w:r>
          </w:p>
          <w:p>
            <w:pPr>
              <w:tabs>
                <w:tab w:val="left" w:pos="3060"/>
              </w:tabs>
              <w:adjustRightInd w:val="0"/>
              <w:snapToGrid w:val="0"/>
              <w:rPr>
                <w:bCs/>
                <w:sz w:val="21"/>
                <w:szCs w:val="21"/>
              </w:rPr>
            </w:pPr>
            <w:r>
              <w:rPr>
                <w:bCs/>
                <w:sz w:val="21"/>
                <w:szCs w:val="21"/>
              </w:rPr>
              <w:t>b．投标文件组成齐全完整，内容均按规定填写。</w:t>
            </w:r>
          </w:p>
          <w:p>
            <w:pPr>
              <w:tabs>
                <w:tab w:val="left" w:pos="3060"/>
              </w:tabs>
              <w:adjustRightInd w:val="0"/>
              <w:snapToGrid w:val="0"/>
              <w:rPr>
                <w:bCs/>
                <w:sz w:val="21"/>
                <w:szCs w:val="21"/>
              </w:rPr>
            </w:pPr>
            <w:r>
              <w:rPr>
                <w:bCs/>
                <w:sz w:val="21"/>
                <w:szCs w:val="21"/>
              </w:rPr>
              <w:t>（2）投标文件上法定代表人或其授权代理人的签字、投标人的单位章盖章齐全，符合招标文件规定。</w:t>
            </w:r>
          </w:p>
          <w:p>
            <w:pPr>
              <w:tabs>
                <w:tab w:val="left" w:pos="3060"/>
              </w:tabs>
              <w:adjustRightInd w:val="0"/>
              <w:snapToGrid w:val="0"/>
              <w:rPr>
                <w:bCs/>
                <w:sz w:val="21"/>
                <w:szCs w:val="21"/>
              </w:rPr>
            </w:pPr>
            <w:r>
              <w:rPr>
                <w:bCs/>
                <w:sz w:val="21"/>
                <w:szCs w:val="21"/>
              </w:rPr>
              <w:t>（3）投标报价未超过招标文件设定的最高投标限价。</w:t>
            </w:r>
          </w:p>
          <w:p>
            <w:pPr>
              <w:tabs>
                <w:tab w:val="left" w:pos="3060"/>
              </w:tabs>
              <w:adjustRightInd w:val="0"/>
              <w:snapToGrid w:val="0"/>
              <w:rPr>
                <w:bCs/>
                <w:sz w:val="21"/>
                <w:szCs w:val="21"/>
              </w:rPr>
            </w:pPr>
            <w:r>
              <w:rPr>
                <w:bCs/>
                <w:sz w:val="21"/>
                <w:szCs w:val="21"/>
              </w:rPr>
              <w:t>（4）投标报价大写金额能够确定具体数值。</w:t>
            </w:r>
          </w:p>
          <w:p>
            <w:pPr>
              <w:tabs>
                <w:tab w:val="left" w:pos="3060"/>
              </w:tabs>
              <w:adjustRightInd w:val="0"/>
              <w:snapToGrid w:val="0"/>
              <w:rPr>
                <w:bCs/>
                <w:sz w:val="21"/>
                <w:szCs w:val="21"/>
              </w:rPr>
            </w:pPr>
            <w:r>
              <w:rPr>
                <w:bCs/>
                <w:sz w:val="21"/>
                <w:szCs w:val="21"/>
              </w:rPr>
              <w:t>（5）投标人未提交两个以上不同的投标报价。</w:t>
            </w:r>
          </w:p>
          <w:p>
            <w:pPr>
              <w:tabs>
                <w:tab w:val="left" w:pos="3060"/>
              </w:tabs>
              <w:adjustRightInd w:val="0"/>
              <w:snapToGrid w:val="0"/>
              <w:rPr>
                <w:sz w:val="21"/>
                <w:szCs w:val="21"/>
              </w:rPr>
            </w:pPr>
            <w:r>
              <w:rPr>
                <w:rFonts w:hint="eastAsia"/>
                <w:bCs/>
                <w:sz w:val="21"/>
                <w:szCs w:val="21"/>
              </w:rPr>
              <w:t>（6）报价清单中的</w:t>
            </w:r>
            <w:r>
              <w:rPr>
                <w:rFonts w:hint="eastAsia" w:ascii="宋体" w:hAnsi="宋体" w:cs="宋体"/>
                <w:kern w:val="2"/>
                <w:sz w:val="21"/>
                <w:szCs w:val="21"/>
              </w:rPr>
              <w:t>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Align w:val="center"/>
          </w:tcPr>
          <w:p>
            <w:pPr>
              <w:adjustRightInd w:val="0"/>
              <w:snapToGrid w:val="0"/>
              <w:jc w:val="center"/>
              <w:rPr>
                <w:sz w:val="21"/>
                <w:szCs w:val="21"/>
              </w:rPr>
            </w:pPr>
            <w:r>
              <w:rPr>
                <w:sz w:val="21"/>
                <w:szCs w:val="21"/>
              </w:rPr>
              <w:t>2.1.2</w:t>
            </w:r>
          </w:p>
        </w:tc>
        <w:tc>
          <w:tcPr>
            <w:tcW w:w="1052" w:type="dxa"/>
            <w:vAlign w:val="center"/>
          </w:tcPr>
          <w:p>
            <w:pPr>
              <w:adjustRightInd w:val="0"/>
              <w:snapToGrid w:val="0"/>
              <w:jc w:val="center"/>
              <w:rPr>
                <w:sz w:val="21"/>
                <w:szCs w:val="21"/>
              </w:rPr>
            </w:pPr>
            <w:r>
              <w:rPr>
                <w:sz w:val="21"/>
                <w:szCs w:val="21"/>
              </w:rPr>
              <w:t>资格评审标准</w:t>
            </w:r>
          </w:p>
        </w:tc>
        <w:tc>
          <w:tcPr>
            <w:tcW w:w="7250" w:type="dxa"/>
          </w:tcPr>
          <w:p>
            <w:pPr>
              <w:tabs>
                <w:tab w:val="left" w:pos="3060"/>
              </w:tabs>
              <w:adjustRightInd w:val="0"/>
              <w:snapToGrid w:val="0"/>
              <w:rPr>
                <w:sz w:val="21"/>
                <w:szCs w:val="21"/>
              </w:rPr>
            </w:pPr>
            <w:r>
              <w:rPr>
                <w:sz w:val="21"/>
                <w:szCs w:val="21"/>
              </w:rPr>
              <w:t>（1）投标人具备有效的营业执照、资质证书和基本账户开户许可证（或基本存款账户信息）；</w:t>
            </w:r>
          </w:p>
          <w:p>
            <w:pPr>
              <w:tabs>
                <w:tab w:val="left" w:pos="3060"/>
              </w:tabs>
              <w:adjustRightInd w:val="0"/>
              <w:snapToGrid w:val="0"/>
              <w:rPr>
                <w:sz w:val="21"/>
                <w:szCs w:val="21"/>
              </w:rPr>
            </w:pPr>
            <w:r>
              <w:rPr>
                <w:sz w:val="21"/>
                <w:szCs w:val="21"/>
              </w:rPr>
              <w:t>（2）投标人的资质等级符合招标文件规定；</w:t>
            </w:r>
          </w:p>
          <w:p>
            <w:pPr>
              <w:tabs>
                <w:tab w:val="left" w:pos="3060"/>
              </w:tabs>
              <w:adjustRightInd w:val="0"/>
              <w:snapToGrid w:val="0"/>
              <w:rPr>
                <w:sz w:val="21"/>
                <w:szCs w:val="21"/>
              </w:rPr>
            </w:pPr>
            <w:r>
              <w:rPr>
                <w:sz w:val="21"/>
                <w:szCs w:val="21"/>
              </w:rPr>
              <w:t>（3）投标人的类似项目业绩符合招标文件规定；</w:t>
            </w:r>
          </w:p>
          <w:p>
            <w:pPr>
              <w:tabs>
                <w:tab w:val="left" w:pos="3060"/>
              </w:tabs>
              <w:adjustRightInd w:val="0"/>
              <w:snapToGrid w:val="0"/>
              <w:rPr>
                <w:sz w:val="21"/>
                <w:szCs w:val="21"/>
              </w:rPr>
            </w:pPr>
            <w:r>
              <w:rPr>
                <w:sz w:val="21"/>
                <w:szCs w:val="21"/>
              </w:rPr>
              <w:t>（4）投标人的信誉符合招标文件规定；</w:t>
            </w:r>
          </w:p>
          <w:p>
            <w:pPr>
              <w:tabs>
                <w:tab w:val="left" w:pos="3060"/>
              </w:tabs>
              <w:adjustRightInd w:val="0"/>
              <w:snapToGrid w:val="0"/>
              <w:rPr>
                <w:sz w:val="21"/>
                <w:szCs w:val="21"/>
              </w:rPr>
            </w:pPr>
            <w:r>
              <w:rPr>
                <w:sz w:val="21"/>
                <w:szCs w:val="21"/>
              </w:rPr>
              <w:t>（5）投标人的项目负责人资格符合招标文件规定；</w:t>
            </w:r>
          </w:p>
          <w:p>
            <w:pPr>
              <w:tabs>
                <w:tab w:val="left" w:pos="3060"/>
              </w:tabs>
              <w:adjustRightInd w:val="0"/>
              <w:snapToGrid w:val="0"/>
              <w:rPr>
                <w:sz w:val="21"/>
                <w:szCs w:val="21"/>
              </w:rPr>
            </w:pPr>
            <w:r>
              <w:rPr>
                <w:sz w:val="21"/>
                <w:szCs w:val="21"/>
              </w:rPr>
              <w:t>（6）投标人不存在第二章“投标人须知”第1.4.3项或第1.4.4项规定的任何一种情形。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Align w:val="center"/>
          </w:tcPr>
          <w:p>
            <w:pPr>
              <w:adjustRightInd w:val="0"/>
              <w:snapToGrid w:val="0"/>
              <w:jc w:val="center"/>
              <w:rPr>
                <w:sz w:val="21"/>
                <w:szCs w:val="21"/>
              </w:rPr>
            </w:pPr>
            <w:r>
              <w:rPr>
                <w:sz w:val="21"/>
                <w:szCs w:val="21"/>
              </w:rPr>
              <w:t>2.2.1</w:t>
            </w:r>
          </w:p>
        </w:tc>
        <w:tc>
          <w:tcPr>
            <w:tcW w:w="1052" w:type="dxa"/>
            <w:vAlign w:val="center"/>
          </w:tcPr>
          <w:p>
            <w:pPr>
              <w:adjustRightInd w:val="0"/>
              <w:snapToGrid w:val="0"/>
              <w:jc w:val="center"/>
              <w:rPr>
                <w:sz w:val="21"/>
                <w:szCs w:val="21"/>
              </w:rPr>
            </w:pPr>
            <w:r>
              <w:rPr>
                <w:sz w:val="21"/>
                <w:szCs w:val="21"/>
              </w:rPr>
              <w:t>分值构成</w:t>
            </w:r>
          </w:p>
        </w:tc>
        <w:tc>
          <w:tcPr>
            <w:tcW w:w="7250" w:type="dxa"/>
            <w:vAlign w:val="center"/>
          </w:tcPr>
          <w:p>
            <w:pPr>
              <w:autoSpaceDE w:val="0"/>
              <w:autoSpaceDN w:val="0"/>
              <w:adjustRightInd w:val="0"/>
              <w:snapToGrid w:val="0"/>
              <w:jc w:val="left"/>
              <w:rPr>
                <w:b/>
                <w:kern w:val="0"/>
                <w:sz w:val="21"/>
                <w:szCs w:val="21"/>
              </w:rPr>
            </w:pPr>
            <w:r>
              <w:rPr>
                <w:b/>
                <w:kern w:val="0"/>
                <w:sz w:val="21"/>
                <w:szCs w:val="21"/>
              </w:rPr>
              <w:t>第一信封（商务及技术文件）评分分值构成：</w:t>
            </w:r>
          </w:p>
          <w:p>
            <w:pPr>
              <w:autoSpaceDE w:val="0"/>
              <w:autoSpaceDN w:val="0"/>
              <w:adjustRightInd w:val="0"/>
              <w:snapToGrid w:val="0"/>
              <w:jc w:val="left"/>
              <w:rPr>
                <w:kern w:val="0"/>
                <w:sz w:val="21"/>
                <w:szCs w:val="21"/>
              </w:rPr>
            </w:pPr>
            <w:r>
              <w:rPr>
                <w:kern w:val="0"/>
                <w:sz w:val="21"/>
                <w:szCs w:val="21"/>
              </w:rPr>
              <w:t>技术建议书：50分</w:t>
            </w:r>
          </w:p>
          <w:p>
            <w:pPr>
              <w:autoSpaceDE w:val="0"/>
              <w:autoSpaceDN w:val="0"/>
              <w:adjustRightInd w:val="0"/>
              <w:snapToGrid w:val="0"/>
              <w:jc w:val="left"/>
              <w:rPr>
                <w:kern w:val="0"/>
                <w:sz w:val="21"/>
                <w:szCs w:val="21"/>
              </w:rPr>
            </w:pPr>
            <w:r>
              <w:rPr>
                <w:kern w:val="0"/>
                <w:sz w:val="21"/>
                <w:szCs w:val="21"/>
              </w:rPr>
              <w:t>主要人员：  5分</w:t>
            </w:r>
          </w:p>
          <w:p>
            <w:pPr>
              <w:autoSpaceDE w:val="0"/>
              <w:autoSpaceDN w:val="0"/>
              <w:adjustRightInd w:val="0"/>
              <w:snapToGrid w:val="0"/>
              <w:jc w:val="left"/>
              <w:rPr>
                <w:kern w:val="0"/>
                <w:sz w:val="21"/>
                <w:szCs w:val="21"/>
              </w:rPr>
            </w:pPr>
            <w:r>
              <w:rPr>
                <w:kern w:val="0"/>
                <w:sz w:val="21"/>
                <w:szCs w:val="21"/>
              </w:rPr>
              <w:t>业    绩：  15分</w:t>
            </w:r>
          </w:p>
          <w:p>
            <w:pPr>
              <w:autoSpaceDE w:val="0"/>
              <w:autoSpaceDN w:val="0"/>
              <w:adjustRightInd w:val="0"/>
              <w:snapToGrid w:val="0"/>
              <w:jc w:val="left"/>
              <w:rPr>
                <w:b/>
                <w:kern w:val="0"/>
                <w:sz w:val="21"/>
                <w:szCs w:val="21"/>
              </w:rPr>
            </w:pPr>
            <w:r>
              <w:rPr>
                <w:b/>
                <w:kern w:val="0"/>
                <w:sz w:val="21"/>
                <w:szCs w:val="21"/>
              </w:rPr>
              <w:t>第二信封（报价文件）评分分值构成：</w:t>
            </w:r>
          </w:p>
          <w:p>
            <w:pPr>
              <w:autoSpaceDE w:val="0"/>
              <w:autoSpaceDN w:val="0"/>
              <w:adjustRightInd w:val="0"/>
              <w:snapToGrid w:val="0"/>
              <w:jc w:val="left"/>
              <w:rPr>
                <w:sz w:val="21"/>
                <w:szCs w:val="21"/>
              </w:rPr>
            </w:pPr>
            <w:r>
              <w:rPr>
                <w:sz w:val="21"/>
                <w:szCs w:val="21"/>
              </w:rPr>
              <w:t>评 标 价：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041" w:type="dxa"/>
            <w:vAlign w:val="center"/>
          </w:tcPr>
          <w:p>
            <w:pPr>
              <w:adjustRightInd w:val="0"/>
              <w:snapToGrid w:val="0"/>
              <w:jc w:val="center"/>
              <w:rPr>
                <w:sz w:val="21"/>
                <w:szCs w:val="21"/>
              </w:rPr>
            </w:pPr>
            <w:r>
              <w:rPr>
                <w:sz w:val="21"/>
                <w:szCs w:val="21"/>
              </w:rPr>
              <w:t>2.2.2</w:t>
            </w:r>
          </w:p>
        </w:tc>
        <w:tc>
          <w:tcPr>
            <w:tcW w:w="1052" w:type="dxa"/>
            <w:vAlign w:val="center"/>
          </w:tcPr>
          <w:p>
            <w:pPr>
              <w:adjustRightInd w:val="0"/>
              <w:snapToGrid w:val="0"/>
              <w:jc w:val="center"/>
              <w:rPr>
                <w:sz w:val="21"/>
                <w:szCs w:val="21"/>
              </w:rPr>
            </w:pPr>
            <w:r>
              <w:rPr>
                <w:sz w:val="21"/>
                <w:szCs w:val="21"/>
              </w:rPr>
              <w:t>评标基准价计算方法</w:t>
            </w:r>
          </w:p>
        </w:tc>
        <w:tc>
          <w:tcPr>
            <w:tcW w:w="7250" w:type="dxa"/>
            <w:vAlign w:val="center"/>
          </w:tcPr>
          <w:p>
            <w:pPr>
              <w:adjustRightInd w:val="0"/>
              <w:snapToGrid w:val="0"/>
              <w:rPr>
                <w:sz w:val="21"/>
                <w:szCs w:val="21"/>
              </w:rPr>
            </w:pPr>
            <w:r>
              <w:rPr>
                <w:sz w:val="21"/>
                <w:szCs w:val="21"/>
              </w:rPr>
              <w:t>评标基准价的计算：</w:t>
            </w:r>
          </w:p>
          <w:p>
            <w:pPr>
              <w:adjustRightInd w:val="0"/>
              <w:snapToGrid w:val="0"/>
              <w:rPr>
                <w:sz w:val="21"/>
                <w:szCs w:val="21"/>
              </w:rPr>
            </w:pPr>
            <w:r>
              <w:rPr>
                <w:sz w:val="21"/>
                <w:szCs w:val="21"/>
              </w:rPr>
              <w:t>（1）评标价的确定：</w:t>
            </w:r>
          </w:p>
          <w:p>
            <w:pPr>
              <w:adjustRightInd w:val="0"/>
              <w:snapToGrid w:val="0"/>
              <w:rPr>
                <w:sz w:val="21"/>
                <w:szCs w:val="21"/>
              </w:rPr>
            </w:pPr>
            <w:r>
              <w:rPr>
                <w:sz w:val="21"/>
                <w:szCs w:val="21"/>
              </w:rPr>
              <w:t>评标价=投标函文字报价</w:t>
            </w:r>
          </w:p>
          <w:p>
            <w:pPr>
              <w:adjustRightInd w:val="0"/>
              <w:snapToGrid w:val="0"/>
              <w:rPr>
                <w:sz w:val="21"/>
                <w:szCs w:val="21"/>
              </w:rPr>
            </w:pPr>
            <w:r>
              <w:rPr>
                <w:sz w:val="21"/>
                <w:szCs w:val="21"/>
              </w:rPr>
              <w:t>（2）评标基准价的</w:t>
            </w:r>
            <w:r>
              <w:rPr>
                <w:rFonts w:hint="eastAsia"/>
                <w:sz w:val="21"/>
                <w:szCs w:val="21"/>
              </w:rPr>
              <w:t>确定</w:t>
            </w:r>
            <w:r>
              <w:rPr>
                <w:sz w:val="21"/>
                <w:szCs w:val="21"/>
              </w:rPr>
              <w:t>：</w:t>
            </w:r>
          </w:p>
          <w:p>
            <w:pPr>
              <w:adjustRightInd w:val="0"/>
              <w:snapToGrid w:val="0"/>
              <w:rPr>
                <w:sz w:val="21"/>
                <w:szCs w:val="21"/>
              </w:rPr>
            </w:pPr>
            <w:r>
              <w:rPr>
                <w:rFonts w:hint="eastAsia"/>
                <w:sz w:val="21"/>
                <w:szCs w:val="21"/>
              </w:rPr>
              <w:t>除按第二章“投标人须知”第5.2.4项规定在开标现场被宣布为不进入评标基准价计算的投标报价外的投标人评标价均参与计算评标价平均值：</w:t>
            </w:r>
          </w:p>
          <w:p>
            <w:pPr>
              <w:adjustRightInd w:val="0"/>
              <w:snapToGrid w:val="0"/>
              <w:rPr>
                <w:sz w:val="21"/>
                <w:szCs w:val="21"/>
              </w:rPr>
            </w:pPr>
            <w:r>
              <w:rPr>
                <w:rFonts w:hint="eastAsia"/>
                <w:sz w:val="21"/>
                <w:szCs w:val="21"/>
              </w:rPr>
              <w:t>如果参与评标价平均值计算的投标人数量小于等于5家，所有投标人报价的算数平均值即为评标价平均值；</w:t>
            </w:r>
          </w:p>
          <w:p>
            <w:pPr>
              <w:adjustRightInd w:val="0"/>
              <w:snapToGrid w:val="0"/>
              <w:rPr>
                <w:sz w:val="21"/>
                <w:szCs w:val="21"/>
              </w:rPr>
            </w:pPr>
            <w:r>
              <w:rPr>
                <w:rFonts w:hint="eastAsia"/>
                <w:sz w:val="21"/>
                <w:szCs w:val="21"/>
              </w:rPr>
              <w:t>如果参与评标价平均值计算的投标人数量大于5家，所有投标人报价中去掉一个最高值和一个最低值后的算数平均值即为评标价平均值。</w:t>
            </w:r>
          </w:p>
          <w:p>
            <w:pPr>
              <w:adjustRightInd w:val="0"/>
              <w:snapToGrid w:val="0"/>
              <w:rPr>
                <w:sz w:val="21"/>
                <w:szCs w:val="21"/>
              </w:rPr>
            </w:pPr>
            <w:r>
              <w:rPr>
                <w:sz w:val="21"/>
                <w:szCs w:val="21"/>
              </w:rPr>
              <w:t>（</w:t>
            </w:r>
            <w:r>
              <w:rPr>
                <w:rFonts w:hint="eastAsia"/>
                <w:sz w:val="21"/>
                <w:szCs w:val="21"/>
              </w:rPr>
              <w:t>3</w:t>
            </w:r>
            <w:r>
              <w:rPr>
                <w:sz w:val="21"/>
                <w:szCs w:val="21"/>
              </w:rPr>
              <w:t>）</w:t>
            </w:r>
            <w:r>
              <w:rPr>
                <w:rFonts w:hint="eastAsia"/>
                <w:sz w:val="21"/>
                <w:szCs w:val="21"/>
              </w:rPr>
              <w:t>评标基准价的确定：将评标价平均值直接作为评标基准价（评标基准价保留小数点后两位，小数点后第三位四舍五入）。</w:t>
            </w:r>
          </w:p>
          <w:p>
            <w:pPr>
              <w:adjustRightInd w:val="0"/>
              <w:snapToGrid w:val="0"/>
              <w:rPr>
                <w:sz w:val="21"/>
                <w:szCs w:val="21"/>
              </w:rPr>
            </w:pPr>
            <w:r>
              <w:rPr>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vAlign w:val="center"/>
          </w:tcPr>
          <w:p>
            <w:pPr>
              <w:adjustRightInd w:val="0"/>
              <w:snapToGrid w:val="0"/>
              <w:jc w:val="center"/>
              <w:rPr>
                <w:sz w:val="21"/>
                <w:szCs w:val="21"/>
              </w:rPr>
            </w:pPr>
            <w:r>
              <w:rPr>
                <w:sz w:val="21"/>
                <w:szCs w:val="21"/>
              </w:rPr>
              <w:t>2.2.3</w:t>
            </w:r>
          </w:p>
        </w:tc>
        <w:tc>
          <w:tcPr>
            <w:tcW w:w="1052" w:type="dxa"/>
            <w:vAlign w:val="center"/>
          </w:tcPr>
          <w:p>
            <w:pPr>
              <w:adjustRightInd w:val="0"/>
              <w:snapToGrid w:val="0"/>
              <w:rPr>
                <w:sz w:val="21"/>
                <w:szCs w:val="21"/>
              </w:rPr>
            </w:pPr>
            <w:r>
              <w:rPr>
                <w:sz w:val="21"/>
                <w:szCs w:val="21"/>
              </w:rPr>
              <w:t>评标价的偏差率计算公式</w:t>
            </w:r>
          </w:p>
        </w:tc>
        <w:tc>
          <w:tcPr>
            <w:tcW w:w="7250" w:type="dxa"/>
            <w:vAlign w:val="center"/>
          </w:tcPr>
          <w:p>
            <w:pPr>
              <w:adjustRightInd w:val="0"/>
              <w:snapToGrid w:val="0"/>
              <w:rPr>
                <w:sz w:val="21"/>
                <w:szCs w:val="21"/>
              </w:rPr>
            </w:pPr>
            <w:r>
              <w:rPr>
                <w:sz w:val="21"/>
                <w:szCs w:val="21"/>
              </w:rPr>
              <w:t>偏差率=100%×（投标人评标价-评标基准价）/评标基准价</w:t>
            </w:r>
          </w:p>
          <w:p>
            <w:pPr>
              <w:adjustRightInd w:val="0"/>
              <w:snapToGrid w:val="0"/>
              <w:rPr>
                <w:sz w:val="21"/>
                <w:szCs w:val="21"/>
              </w:rPr>
            </w:pPr>
            <w:r>
              <w:rPr>
                <w:rFonts w:hint="eastAsia"/>
                <w:sz w:val="21"/>
                <w:szCs w:val="21"/>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vAlign w:val="center"/>
          </w:tcPr>
          <w:p>
            <w:pPr>
              <w:adjustRightInd w:val="0"/>
              <w:snapToGrid w:val="0"/>
              <w:jc w:val="center"/>
              <w:rPr>
                <w:sz w:val="21"/>
                <w:szCs w:val="21"/>
              </w:rPr>
            </w:pPr>
            <w:r>
              <w:rPr>
                <w:sz w:val="21"/>
                <w:szCs w:val="21"/>
              </w:rPr>
              <w:t>3.6.1</w:t>
            </w:r>
          </w:p>
        </w:tc>
        <w:tc>
          <w:tcPr>
            <w:tcW w:w="1052" w:type="dxa"/>
            <w:vAlign w:val="center"/>
          </w:tcPr>
          <w:p>
            <w:pPr>
              <w:adjustRightInd w:val="0"/>
              <w:snapToGrid w:val="0"/>
              <w:rPr>
                <w:sz w:val="21"/>
                <w:szCs w:val="21"/>
              </w:rPr>
            </w:pPr>
            <w:r>
              <w:rPr>
                <w:sz w:val="21"/>
                <w:szCs w:val="21"/>
              </w:rPr>
              <w:t>投标文件相关信息核查</w:t>
            </w:r>
          </w:p>
        </w:tc>
        <w:tc>
          <w:tcPr>
            <w:tcW w:w="7250" w:type="dxa"/>
            <w:vAlign w:val="center"/>
          </w:tcPr>
          <w:p>
            <w:pPr>
              <w:adjustRightInd w:val="0"/>
              <w:snapToGrid w:val="0"/>
              <w:rPr>
                <w:sz w:val="21"/>
                <w:szCs w:val="21"/>
              </w:rPr>
            </w:pPr>
            <w:r>
              <w:rPr>
                <w:sz w:val="21"/>
                <w:szCs w:val="21"/>
              </w:rPr>
              <w:t>本款修改为：</w:t>
            </w:r>
          </w:p>
          <w:p>
            <w:pPr>
              <w:adjustRightInd w:val="0"/>
              <w:snapToGrid w:val="0"/>
              <w:rPr>
                <w:sz w:val="21"/>
                <w:szCs w:val="21"/>
              </w:rPr>
            </w:pPr>
            <w:r>
              <w:rPr>
                <w:rFonts w:hint="eastAsia"/>
                <w:sz w:val="21"/>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p>
            <w:pPr>
              <w:adjustRightInd w:val="0"/>
              <w:snapToGrid w:val="0"/>
              <w:rPr>
                <w:sz w:val="21"/>
                <w:szCs w:val="21"/>
              </w:rPr>
            </w:pPr>
            <w:r>
              <w:rPr>
                <w:rFonts w:hint="eastAsia"/>
                <w:sz w:val="21"/>
                <w:szCs w:val="21"/>
              </w:rPr>
              <w:t>评标委员会评标时应对投标人的信用情况在“国家企业信用信息公示系统”和“信用中国”网站进行查询，若投标人存在“国家企业信用信息公示系统”被列入严重违法失信企业名单（不含分公司）或在“信用中国”网站“被列入失信被执行人名单、经营异常名录、税收违法黑名单（或重大税收违法失信主体）、政府采购严重违法失信行为记录名单”情形的（均不含分公司），评标委员会应否决其投标。</w:t>
            </w:r>
          </w:p>
          <w:p>
            <w:pPr>
              <w:adjustRightInd w:val="0"/>
              <w:snapToGrid w:val="0"/>
              <w:rPr>
                <w:sz w:val="21"/>
                <w:szCs w:val="21"/>
              </w:rPr>
            </w:pPr>
            <w:r>
              <w:rPr>
                <w:sz w:val="21"/>
                <w:szCs w:val="21"/>
              </w:rPr>
              <w:t>投标人按招标文件要求提供了截图，并承担由于信息填报不完整或者不准确等原因导致投标可能被否决的后果。相关信息由投标人填报的，其真实性由投标人负责，经查证与事实不符的，视为投标过程中的弄虚作假行为，按相关规定处理。</w:t>
            </w:r>
          </w:p>
          <w:p>
            <w:pPr>
              <w:pStyle w:val="4"/>
              <w:snapToGrid w:val="0"/>
            </w:pPr>
            <w:r>
              <w:rPr>
                <w:sz w:val="21"/>
                <w:szCs w:val="21"/>
              </w:rPr>
              <w:t>如投标人未提供招标文件要求的相关截图或与评标委员会查询结果不符的，评标委员会应否决其投标。</w:t>
            </w:r>
          </w:p>
        </w:tc>
      </w:tr>
    </w:tbl>
    <w:p>
      <w:pPr>
        <w:jc w:val="right"/>
        <w:rPr>
          <w:szCs w:val="21"/>
        </w:rPr>
      </w:pPr>
      <w:r>
        <w:br w:type="page"/>
      </w:r>
      <w:r>
        <w:t>续上表</w:t>
      </w:r>
    </w:p>
    <w:tbl>
      <w:tblPr>
        <w:tblStyle w:val="10"/>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781"/>
        <w:gridCol w:w="1276"/>
        <w:gridCol w:w="567"/>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4106" w:type="dxa"/>
            <w:gridSpan w:val="5"/>
            <w:vAlign w:val="center"/>
          </w:tcPr>
          <w:p>
            <w:pPr>
              <w:pStyle w:val="5"/>
              <w:adjustRightInd w:val="0"/>
              <w:snapToGrid w:val="0"/>
              <w:jc w:val="center"/>
              <w:rPr>
                <w:rFonts w:ascii="Times New Roman" w:hAnsi="Times New Roman"/>
                <w:szCs w:val="21"/>
              </w:rPr>
            </w:pPr>
            <w:bookmarkStart w:id="37" w:name="_Hlk85726717"/>
            <w:r>
              <w:rPr>
                <w:rFonts w:ascii="Times New Roman" w:hAnsi="Times New Roman"/>
                <w:szCs w:val="21"/>
              </w:rPr>
              <w:t>评分因素与权重分值</w:t>
            </w:r>
          </w:p>
        </w:tc>
        <w:tc>
          <w:tcPr>
            <w:tcW w:w="5546" w:type="dxa"/>
            <w:vMerge w:val="restart"/>
            <w:vAlign w:val="center"/>
          </w:tcPr>
          <w:p>
            <w:pPr>
              <w:pStyle w:val="5"/>
              <w:adjustRightInd w:val="0"/>
              <w:snapToGrid w:val="0"/>
              <w:jc w:val="center"/>
              <w:rPr>
                <w:rFonts w:ascii="Times New Roman" w:hAnsi="Times New Roman"/>
                <w:szCs w:val="21"/>
              </w:rPr>
            </w:pPr>
            <w:r>
              <w:rPr>
                <w:rFonts w:ascii="Times New Roman" w:hAnsi="Times New Roman"/>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jc w:val="center"/>
              <w:rPr>
                <w:rFonts w:ascii="Times New Roman" w:hAnsi="Times New Roman"/>
                <w:szCs w:val="21"/>
              </w:rPr>
            </w:pPr>
            <w:r>
              <w:rPr>
                <w:rFonts w:ascii="Times New Roman" w:hAnsi="Times New Roman"/>
                <w:szCs w:val="21"/>
              </w:rPr>
              <w:t>条款号</w:t>
            </w:r>
          </w:p>
        </w:tc>
        <w:tc>
          <w:tcPr>
            <w:tcW w:w="74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jc w:val="center"/>
              <w:rPr>
                <w:rFonts w:ascii="Times New Roman" w:hAnsi="Times New Roman"/>
                <w:szCs w:val="21"/>
              </w:rPr>
            </w:pPr>
            <w:r>
              <w:rPr>
                <w:rFonts w:ascii="Times New Roman" w:hAnsi="Times New Roman"/>
                <w:szCs w:val="21"/>
              </w:rPr>
              <w:t>评分因素</w:t>
            </w:r>
          </w:p>
        </w:tc>
        <w:tc>
          <w:tcPr>
            <w:tcW w:w="78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jc w:val="center"/>
              <w:rPr>
                <w:rFonts w:ascii="Times New Roman" w:hAnsi="Times New Roman"/>
                <w:szCs w:val="21"/>
              </w:rPr>
            </w:pPr>
            <w:r>
              <w:rPr>
                <w:rFonts w:ascii="Times New Roman" w:hAnsi="Times New Roman"/>
                <w:szCs w:val="21"/>
              </w:rPr>
              <w:t>评分因素 权重分值</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jc w:val="center"/>
              <w:rPr>
                <w:rFonts w:ascii="Times New Roman" w:hAnsi="Times New Roman"/>
                <w:szCs w:val="21"/>
              </w:rPr>
            </w:pPr>
            <w:r>
              <w:rPr>
                <w:rStyle w:val="17"/>
                <w:rFonts w:ascii="Times New Roman" w:hAnsi="Times New Roman"/>
              </w:rPr>
              <w:t>各评分因素细分项</w:t>
            </w:r>
          </w:p>
        </w:tc>
        <w:tc>
          <w:tcPr>
            <w:tcW w:w="567" w:type="dxa"/>
            <w:tcBorders>
              <w:left w:val="single" w:color="auto" w:sz="4" w:space="0"/>
            </w:tcBorders>
            <w:vAlign w:val="center"/>
          </w:tcPr>
          <w:p>
            <w:pPr>
              <w:pStyle w:val="5"/>
              <w:adjustRightInd w:val="0"/>
              <w:snapToGrid w:val="0"/>
              <w:jc w:val="center"/>
              <w:rPr>
                <w:rFonts w:ascii="Times New Roman" w:hAnsi="Times New Roman"/>
                <w:szCs w:val="21"/>
              </w:rPr>
            </w:pPr>
            <w:r>
              <w:rPr>
                <w:rFonts w:ascii="Times New Roman" w:hAnsi="Times New Roman"/>
                <w:szCs w:val="21"/>
              </w:rPr>
              <w:t>分值</w:t>
            </w:r>
          </w:p>
        </w:tc>
        <w:tc>
          <w:tcPr>
            <w:tcW w:w="5546" w:type="dxa"/>
            <w:vMerge w:val="continue"/>
            <w:vAlign w:val="center"/>
          </w:tcPr>
          <w:p>
            <w:pPr>
              <w:pStyle w:val="5"/>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Merge w:val="restart"/>
            <w:tcBorders>
              <w:top w:val="single" w:color="auto" w:sz="4" w:space="0"/>
            </w:tcBorders>
            <w:vAlign w:val="center"/>
          </w:tcPr>
          <w:p>
            <w:pPr>
              <w:pStyle w:val="5"/>
              <w:adjustRightInd w:val="0"/>
              <w:snapToGrid w:val="0"/>
              <w:jc w:val="center"/>
              <w:rPr>
                <w:rFonts w:ascii="Times New Roman" w:hAnsi="Times New Roman"/>
                <w:szCs w:val="21"/>
              </w:rPr>
            </w:pPr>
            <w:r>
              <w:rPr>
                <w:rFonts w:ascii="Times New Roman" w:hAnsi="Times New Roman"/>
                <w:szCs w:val="21"/>
              </w:rPr>
              <w:t>2.2.4（1）</w:t>
            </w:r>
          </w:p>
        </w:tc>
        <w:tc>
          <w:tcPr>
            <w:tcW w:w="741" w:type="dxa"/>
            <w:vMerge w:val="restart"/>
            <w:tcBorders>
              <w:top w:val="single" w:color="auto" w:sz="4" w:space="0"/>
            </w:tcBorders>
            <w:vAlign w:val="center"/>
          </w:tcPr>
          <w:p>
            <w:pPr>
              <w:pStyle w:val="5"/>
              <w:adjustRightInd w:val="0"/>
              <w:snapToGrid w:val="0"/>
              <w:jc w:val="center"/>
              <w:rPr>
                <w:rFonts w:ascii="Times New Roman" w:hAnsi="Times New Roman"/>
                <w:szCs w:val="21"/>
              </w:rPr>
            </w:pPr>
            <w:r>
              <w:rPr>
                <w:rFonts w:ascii="Times New Roman" w:hAnsi="Times New Roman"/>
                <w:szCs w:val="21"/>
              </w:rPr>
              <w:t>技术建议书</w:t>
            </w:r>
          </w:p>
        </w:tc>
        <w:tc>
          <w:tcPr>
            <w:tcW w:w="781" w:type="dxa"/>
            <w:vMerge w:val="restart"/>
            <w:tcBorders>
              <w:top w:val="single" w:color="auto" w:sz="4" w:space="0"/>
            </w:tcBorders>
            <w:vAlign w:val="center"/>
          </w:tcPr>
          <w:p>
            <w:pPr>
              <w:pStyle w:val="5"/>
              <w:adjustRightInd w:val="0"/>
              <w:snapToGrid w:val="0"/>
              <w:jc w:val="center"/>
              <w:rPr>
                <w:rFonts w:ascii="Times New Roman" w:hAnsi="Times New Roman"/>
                <w:szCs w:val="21"/>
              </w:rPr>
            </w:pPr>
            <w:r>
              <w:rPr>
                <w:rFonts w:ascii="Times New Roman" w:hAnsi="Times New Roman"/>
                <w:szCs w:val="21"/>
              </w:rPr>
              <w:t>50分</w:t>
            </w:r>
          </w:p>
        </w:tc>
        <w:tc>
          <w:tcPr>
            <w:tcW w:w="1276" w:type="dxa"/>
            <w:tcBorders>
              <w:top w:val="single" w:color="auto" w:sz="4" w:space="0"/>
            </w:tcBorders>
            <w:vAlign w:val="center"/>
          </w:tcPr>
          <w:p>
            <w:pPr>
              <w:pStyle w:val="5"/>
              <w:adjustRightInd w:val="0"/>
              <w:snapToGrid w:val="0"/>
              <w:jc w:val="center"/>
              <w:rPr>
                <w:rFonts w:ascii="Times New Roman" w:hAnsi="Times New Roman"/>
                <w:szCs w:val="21"/>
              </w:rPr>
            </w:pPr>
            <w:bookmarkStart w:id="38" w:name="_Hlk159435577"/>
            <w:r>
              <w:rPr>
                <w:rFonts w:ascii="Times New Roman" w:hAnsi="Times New Roman"/>
                <w:szCs w:val="21"/>
              </w:rPr>
              <w:t>对项目的理解、重点难点分析</w:t>
            </w:r>
            <w:bookmarkEnd w:id="38"/>
          </w:p>
        </w:tc>
        <w:tc>
          <w:tcPr>
            <w:tcW w:w="567" w:type="dxa"/>
            <w:vAlign w:val="center"/>
          </w:tcPr>
          <w:p>
            <w:pPr>
              <w:pStyle w:val="5"/>
              <w:adjustRightInd w:val="0"/>
              <w:snapToGrid w:val="0"/>
              <w:jc w:val="center"/>
              <w:rPr>
                <w:rFonts w:ascii="Times New Roman" w:hAnsi="Times New Roman"/>
                <w:szCs w:val="21"/>
              </w:rPr>
            </w:pPr>
            <w:r>
              <w:rPr>
                <w:rFonts w:ascii="Times New Roman" w:hAnsi="Times New Roman"/>
                <w:szCs w:val="21"/>
              </w:rPr>
              <w:t>10</w:t>
            </w:r>
          </w:p>
        </w:tc>
        <w:tc>
          <w:tcPr>
            <w:tcW w:w="5546" w:type="dxa"/>
            <w:vAlign w:val="center"/>
          </w:tcPr>
          <w:p>
            <w:pPr>
              <w:pStyle w:val="5"/>
              <w:adjustRightInd w:val="0"/>
              <w:snapToGrid w:val="0"/>
              <w:jc w:val="left"/>
              <w:rPr>
                <w:rFonts w:ascii="Times New Roman" w:hAnsi="Times New Roman"/>
                <w:szCs w:val="21"/>
              </w:rPr>
            </w:pPr>
            <w:r>
              <w:rPr>
                <w:rFonts w:ascii="Times New Roman" w:hAnsi="Times New Roman"/>
                <w:szCs w:val="21"/>
              </w:rPr>
              <w:t xml:space="preserve">对项目服务内容理解深刻，重点难点分析准确，内容和深度符合本项目工作要求的，得8-10分； </w:t>
            </w:r>
          </w:p>
          <w:p>
            <w:pPr>
              <w:pStyle w:val="5"/>
              <w:adjustRightInd w:val="0"/>
              <w:snapToGrid w:val="0"/>
              <w:jc w:val="left"/>
              <w:rPr>
                <w:rFonts w:ascii="Times New Roman" w:hAnsi="Times New Roman"/>
                <w:szCs w:val="21"/>
              </w:rPr>
            </w:pPr>
            <w:r>
              <w:rPr>
                <w:rFonts w:ascii="Times New Roman" w:hAnsi="Times New Roman"/>
                <w:szCs w:val="21"/>
              </w:rPr>
              <w:t>对整个项目理解和描述较为准确，对项目服务内容理解较为清楚，内容和深度较符合本工作要求的，得6-8分；</w:t>
            </w:r>
          </w:p>
          <w:p>
            <w:pPr>
              <w:pStyle w:val="5"/>
              <w:adjustRightInd w:val="0"/>
              <w:snapToGrid w:val="0"/>
              <w:jc w:val="left"/>
              <w:rPr>
                <w:rFonts w:ascii="Times New Roman" w:hAnsi="Times New Roman"/>
                <w:szCs w:val="21"/>
              </w:rPr>
            </w:pPr>
            <w:r>
              <w:rPr>
                <w:rFonts w:ascii="Times New Roman" w:hAnsi="Times New Roman"/>
                <w:szCs w:val="21"/>
              </w:rPr>
              <w:t>对整个项目背景和采购需求基本理解，内容和深度基本符合本工作要求的，得6分；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Merge w:val="continue"/>
            <w:vAlign w:val="center"/>
          </w:tcPr>
          <w:p>
            <w:pPr>
              <w:pStyle w:val="5"/>
              <w:adjustRightInd w:val="0"/>
              <w:snapToGrid w:val="0"/>
              <w:jc w:val="center"/>
              <w:rPr>
                <w:rFonts w:ascii="Times New Roman" w:hAnsi="Times New Roman"/>
                <w:szCs w:val="21"/>
              </w:rPr>
            </w:pPr>
          </w:p>
        </w:tc>
        <w:tc>
          <w:tcPr>
            <w:tcW w:w="741" w:type="dxa"/>
            <w:vMerge w:val="continue"/>
            <w:vAlign w:val="center"/>
          </w:tcPr>
          <w:p>
            <w:pPr>
              <w:pStyle w:val="5"/>
              <w:adjustRightInd w:val="0"/>
              <w:snapToGrid w:val="0"/>
              <w:jc w:val="center"/>
              <w:rPr>
                <w:rFonts w:ascii="Times New Roman" w:hAnsi="Times New Roman"/>
                <w:szCs w:val="21"/>
              </w:rPr>
            </w:pPr>
          </w:p>
        </w:tc>
        <w:tc>
          <w:tcPr>
            <w:tcW w:w="781" w:type="dxa"/>
            <w:vMerge w:val="continue"/>
            <w:vAlign w:val="center"/>
          </w:tcPr>
          <w:p>
            <w:pPr>
              <w:pStyle w:val="5"/>
              <w:adjustRightInd w:val="0"/>
              <w:snapToGrid w:val="0"/>
              <w:jc w:val="center"/>
              <w:rPr>
                <w:rFonts w:ascii="Times New Roman" w:hAnsi="Times New Roman"/>
                <w:szCs w:val="21"/>
              </w:rPr>
            </w:pPr>
          </w:p>
        </w:tc>
        <w:tc>
          <w:tcPr>
            <w:tcW w:w="1276" w:type="dxa"/>
            <w:vAlign w:val="center"/>
          </w:tcPr>
          <w:p>
            <w:pPr>
              <w:pStyle w:val="5"/>
              <w:adjustRightInd w:val="0"/>
              <w:snapToGrid w:val="0"/>
              <w:jc w:val="center"/>
              <w:rPr>
                <w:rFonts w:ascii="Times New Roman" w:hAnsi="Times New Roman"/>
                <w:szCs w:val="21"/>
              </w:rPr>
            </w:pPr>
            <w:bookmarkStart w:id="39" w:name="_Hlk159435583"/>
            <w:r>
              <w:rPr>
                <w:rFonts w:ascii="Times New Roman" w:hAnsi="Times New Roman"/>
                <w:szCs w:val="21"/>
              </w:rPr>
              <w:t>工作进度保证措施</w:t>
            </w:r>
            <w:bookmarkEnd w:id="39"/>
          </w:p>
        </w:tc>
        <w:tc>
          <w:tcPr>
            <w:tcW w:w="567" w:type="dxa"/>
            <w:vAlign w:val="center"/>
          </w:tcPr>
          <w:p>
            <w:pPr>
              <w:pStyle w:val="5"/>
              <w:adjustRightInd w:val="0"/>
              <w:snapToGrid w:val="0"/>
              <w:jc w:val="center"/>
              <w:rPr>
                <w:rFonts w:ascii="Times New Roman" w:hAnsi="Times New Roman"/>
                <w:szCs w:val="21"/>
              </w:rPr>
            </w:pPr>
            <w:r>
              <w:rPr>
                <w:rFonts w:ascii="Times New Roman" w:hAnsi="Times New Roman"/>
                <w:szCs w:val="21"/>
              </w:rPr>
              <w:t>10</w:t>
            </w:r>
          </w:p>
        </w:tc>
        <w:tc>
          <w:tcPr>
            <w:tcW w:w="5546" w:type="dxa"/>
            <w:vAlign w:val="center"/>
          </w:tcPr>
          <w:p>
            <w:pPr>
              <w:pStyle w:val="5"/>
              <w:adjustRightInd w:val="0"/>
              <w:snapToGrid w:val="0"/>
              <w:jc w:val="left"/>
              <w:rPr>
                <w:rFonts w:ascii="Times New Roman" w:hAnsi="Times New Roman"/>
                <w:szCs w:val="21"/>
              </w:rPr>
            </w:pPr>
            <w:r>
              <w:rPr>
                <w:rFonts w:ascii="Times New Roman" w:hAnsi="Times New Roman"/>
                <w:szCs w:val="21"/>
              </w:rPr>
              <w:t>工作进度保证措施科学、完善得8-10分；</w:t>
            </w:r>
          </w:p>
          <w:p>
            <w:pPr>
              <w:pStyle w:val="5"/>
              <w:adjustRightInd w:val="0"/>
              <w:snapToGrid w:val="0"/>
              <w:jc w:val="left"/>
              <w:rPr>
                <w:rFonts w:ascii="Times New Roman" w:hAnsi="Times New Roman"/>
                <w:szCs w:val="21"/>
              </w:rPr>
            </w:pPr>
            <w:r>
              <w:rPr>
                <w:rFonts w:ascii="Times New Roman" w:hAnsi="Times New Roman"/>
                <w:szCs w:val="21"/>
              </w:rPr>
              <w:t>工作进度保证措施较好，较完善得6-8分；</w:t>
            </w:r>
          </w:p>
          <w:p>
            <w:pPr>
              <w:pStyle w:val="5"/>
              <w:adjustRightInd w:val="0"/>
              <w:snapToGrid w:val="0"/>
              <w:jc w:val="left"/>
              <w:rPr>
                <w:rFonts w:ascii="Times New Roman" w:hAnsi="Times New Roman"/>
                <w:szCs w:val="21"/>
              </w:rPr>
            </w:pPr>
            <w:r>
              <w:rPr>
                <w:rFonts w:ascii="Times New Roman" w:hAnsi="Times New Roman"/>
                <w:szCs w:val="21"/>
              </w:rPr>
              <w:t>工作进度保证措施一般得6分；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Merge w:val="continue"/>
            <w:vAlign w:val="center"/>
          </w:tcPr>
          <w:p>
            <w:pPr>
              <w:pStyle w:val="5"/>
              <w:adjustRightInd w:val="0"/>
              <w:snapToGrid w:val="0"/>
              <w:jc w:val="center"/>
              <w:rPr>
                <w:rFonts w:ascii="Times New Roman" w:hAnsi="Times New Roman"/>
                <w:szCs w:val="21"/>
              </w:rPr>
            </w:pPr>
          </w:p>
        </w:tc>
        <w:tc>
          <w:tcPr>
            <w:tcW w:w="741" w:type="dxa"/>
            <w:vMerge w:val="continue"/>
            <w:vAlign w:val="center"/>
          </w:tcPr>
          <w:p>
            <w:pPr>
              <w:pStyle w:val="5"/>
              <w:adjustRightInd w:val="0"/>
              <w:snapToGrid w:val="0"/>
              <w:jc w:val="center"/>
              <w:rPr>
                <w:rFonts w:ascii="Times New Roman" w:hAnsi="Times New Roman"/>
                <w:szCs w:val="21"/>
              </w:rPr>
            </w:pPr>
          </w:p>
        </w:tc>
        <w:tc>
          <w:tcPr>
            <w:tcW w:w="781" w:type="dxa"/>
            <w:vMerge w:val="continue"/>
            <w:vAlign w:val="center"/>
          </w:tcPr>
          <w:p>
            <w:pPr>
              <w:pStyle w:val="5"/>
              <w:adjustRightInd w:val="0"/>
              <w:snapToGrid w:val="0"/>
              <w:jc w:val="center"/>
              <w:rPr>
                <w:rFonts w:ascii="Times New Roman" w:hAnsi="Times New Roman"/>
                <w:szCs w:val="21"/>
              </w:rPr>
            </w:pPr>
          </w:p>
        </w:tc>
        <w:tc>
          <w:tcPr>
            <w:tcW w:w="1276" w:type="dxa"/>
            <w:vAlign w:val="center"/>
          </w:tcPr>
          <w:p>
            <w:pPr>
              <w:pStyle w:val="5"/>
              <w:adjustRightInd w:val="0"/>
              <w:snapToGrid w:val="0"/>
              <w:jc w:val="center"/>
              <w:rPr>
                <w:rFonts w:ascii="Times New Roman" w:hAnsi="Times New Roman"/>
                <w:szCs w:val="21"/>
              </w:rPr>
            </w:pPr>
            <w:bookmarkStart w:id="40" w:name="_Hlk159435589"/>
            <w:r>
              <w:rPr>
                <w:rFonts w:ascii="Times New Roman" w:hAnsi="Times New Roman"/>
                <w:szCs w:val="21"/>
              </w:rPr>
              <w:t>质量保证措施</w:t>
            </w:r>
            <w:bookmarkEnd w:id="40"/>
          </w:p>
        </w:tc>
        <w:tc>
          <w:tcPr>
            <w:tcW w:w="567" w:type="dxa"/>
            <w:vAlign w:val="center"/>
          </w:tcPr>
          <w:p>
            <w:pPr>
              <w:pStyle w:val="5"/>
              <w:adjustRightInd w:val="0"/>
              <w:snapToGrid w:val="0"/>
              <w:jc w:val="center"/>
              <w:rPr>
                <w:rFonts w:ascii="Times New Roman" w:hAnsi="Times New Roman"/>
                <w:szCs w:val="21"/>
              </w:rPr>
            </w:pPr>
            <w:r>
              <w:rPr>
                <w:rFonts w:ascii="Times New Roman" w:hAnsi="Times New Roman"/>
                <w:szCs w:val="21"/>
              </w:rPr>
              <w:t>10</w:t>
            </w:r>
          </w:p>
        </w:tc>
        <w:tc>
          <w:tcPr>
            <w:tcW w:w="5546" w:type="dxa"/>
            <w:vAlign w:val="center"/>
          </w:tcPr>
          <w:p>
            <w:pPr>
              <w:pStyle w:val="5"/>
              <w:adjustRightInd w:val="0"/>
              <w:snapToGrid w:val="0"/>
              <w:jc w:val="left"/>
              <w:rPr>
                <w:rFonts w:ascii="Times New Roman" w:hAnsi="Times New Roman"/>
                <w:szCs w:val="21"/>
              </w:rPr>
            </w:pPr>
            <w:r>
              <w:rPr>
                <w:rFonts w:ascii="Times New Roman" w:hAnsi="Times New Roman"/>
                <w:szCs w:val="21"/>
              </w:rPr>
              <w:t>质量保证措施科学、完善得8-10分；</w:t>
            </w:r>
          </w:p>
          <w:p>
            <w:pPr>
              <w:pStyle w:val="5"/>
              <w:adjustRightInd w:val="0"/>
              <w:snapToGrid w:val="0"/>
              <w:jc w:val="left"/>
              <w:rPr>
                <w:rFonts w:ascii="Times New Roman" w:hAnsi="Times New Roman"/>
                <w:szCs w:val="21"/>
              </w:rPr>
            </w:pPr>
            <w:r>
              <w:rPr>
                <w:rFonts w:ascii="Times New Roman" w:hAnsi="Times New Roman"/>
                <w:szCs w:val="21"/>
              </w:rPr>
              <w:t>质量保证措施较好，较完善得6-8分；</w:t>
            </w:r>
          </w:p>
          <w:p>
            <w:pPr>
              <w:pStyle w:val="5"/>
              <w:adjustRightInd w:val="0"/>
              <w:snapToGrid w:val="0"/>
              <w:jc w:val="left"/>
              <w:rPr>
                <w:rFonts w:ascii="Times New Roman" w:hAnsi="Times New Roman"/>
                <w:szCs w:val="21"/>
              </w:rPr>
            </w:pPr>
            <w:r>
              <w:rPr>
                <w:rFonts w:ascii="Times New Roman" w:hAnsi="Times New Roman"/>
                <w:szCs w:val="21"/>
              </w:rPr>
              <w:t>质量保证措施一般得6分；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Merge w:val="continue"/>
            <w:vAlign w:val="center"/>
          </w:tcPr>
          <w:p>
            <w:pPr>
              <w:pStyle w:val="5"/>
              <w:adjustRightInd w:val="0"/>
              <w:snapToGrid w:val="0"/>
              <w:jc w:val="center"/>
              <w:rPr>
                <w:rFonts w:ascii="Times New Roman" w:hAnsi="Times New Roman"/>
                <w:szCs w:val="21"/>
              </w:rPr>
            </w:pPr>
          </w:p>
        </w:tc>
        <w:tc>
          <w:tcPr>
            <w:tcW w:w="741" w:type="dxa"/>
            <w:vMerge w:val="continue"/>
            <w:vAlign w:val="center"/>
          </w:tcPr>
          <w:p>
            <w:pPr>
              <w:pStyle w:val="5"/>
              <w:adjustRightInd w:val="0"/>
              <w:snapToGrid w:val="0"/>
              <w:jc w:val="center"/>
              <w:rPr>
                <w:rFonts w:ascii="Times New Roman" w:hAnsi="Times New Roman"/>
                <w:szCs w:val="21"/>
              </w:rPr>
            </w:pPr>
          </w:p>
        </w:tc>
        <w:tc>
          <w:tcPr>
            <w:tcW w:w="781" w:type="dxa"/>
            <w:vMerge w:val="continue"/>
            <w:vAlign w:val="center"/>
          </w:tcPr>
          <w:p>
            <w:pPr>
              <w:pStyle w:val="5"/>
              <w:adjustRightInd w:val="0"/>
              <w:snapToGrid w:val="0"/>
              <w:jc w:val="center"/>
              <w:rPr>
                <w:rFonts w:ascii="Times New Roman" w:hAnsi="Times New Roman"/>
                <w:szCs w:val="21"/>
              </w:rPr>
            </w:pPr>
          </w:p>
        </w:tc>
        <w:tc>
          <w:tcPr>
            <w:tcW w:w="1276" w:type="dxa"/>
            <w:vAlign w:val="center"/>
          </w:tcPr>
          <w:p>
            <w:pPr>
              <w:pStyle w:val="5"/>
              <w:adjustRightInd w:val="0"/>
              <w:snapToGrid w:val="0"/>
              <w:jc w:val="center"/>
              <w:rPr>
                <w:rFonts w:ascii="Times New Roman" w:hAnsi="Times New Roman"/>
                <w:szCs w:val="21"/>
              </w:rPr>
            </w:pPr>
            <w:bookmarkStart w:id="41" w:name="_Hlk159435595"/>
            <w:r>
              <w:rPr>
                <w:rFonts w:ascii="Times New Roman" w:hAnsi="Times New Roman"/>
                <w:szCs w:val="21"/>
              </w:rPr>
              <w:t>服务承诺</w:t>
            </w:r>
            <w:bookmarkEnd w:id="41"/>
          </w:p>
        </w:tc>
        <w:tc>
          <w:tcPr>
            <w:tcW w:w="567" w:type="dxa"/>
            <w:vAlign w:val="center"/>
          </w:tcPr>
          <w:p>
            <w:pPr>
              <w:pStyle w:val="5"/>
              <w:adjustRightInd w:val="0"/>
              <w:snapToGrid w:val="0"/>
              <w:jc w:val="center"/>
              <w:rPr>
                <w:rFonts w:ascii="Times New Roman" w:hAnsi="Times New Roman"/>
                <w:szCs w:val="21"/>
              </w:rPr>
            </w:pPr>
            <w:r>
              <w:rPr>
                <w:rFonts w:ascii="Times New Roman" w:hAnsi="Times New Roman"/>
                <w:szCs w:val="21"/>
              </w:rPr>
              <w:t>10</w:t>
            </w:r>
          </w:p>
        </w:tc>
        <w:tc>
          <w:tcPr>
            <w:tcW w:w="5546" w:type="dxa"/>
            <w:vAlign w:val="center"/>
          </w:tcPr>
          <w:p>
            <w:pPr>
              <w:pStyle w:val="5"/>
              <w:adjustRightInd w:val="0"/>
              <w:snapToGrid w:val="0"/>
              <w:jc w:val="left"/>
              <w:rPr>
                <w:rFonts w:ascii="Times New Roman" w:hAnsi="Times New Roman"/>
                <w:szCs w:val="21"/>
              </w:rPr>
            </w:pPr>
            <w:r>
              <w:rPr>
                <w:rFonts w:ascii="Times New Roman" w:hAnsi="Times New Roman"/>
                <w:szCs w:val="21"/>
              </w:rPr>
              <w:t>服务承诺完备、优质得8-10分；</w:t>
            </w:r>
          </w:p>
          <w:p>
            <w:pPr>
              <w:pStyle w:val="5"/>
              <w:adjustRightInd w:val="0"/>
              <w:snapToGrid w:val="0"/>
              <w:jc w:val="left"/>
              <w:rPr>
                <w:rFonts w:ascii="Times New Roman" w:hAnsi="Times New Roman"/>
                <w:szCs w:val="21"/>
              </w:rPr>
            </w:pPr>
            <w:r>
              <w:rPr>
                <w:rFonts w:ascii="Times New Roman" w:hAnsi="Times New Roman"/>
                <w:szCs w:val="21"/>
              </w:rPr>
              <w:t>服务承诺</w:t>
            </w:r>
            <w:r>
              <w:rPr>
                <w:rFonts w:hint="eastAsia" w:ascii="Times New Roman" w:hAnsi="Times New Roman"/>
                <w:szCs w:val="21"/>
              </w:rPr>
              <w:t>较好</w:t>
            </w:r>
            <w:r>
              <w:rPr>
                <w:rFonts w:ascii="Times New Roman" w:hAnsi="Times New Roman"/>
                <w:szCs w:val="21"/>
              </w:rPr>
              <w:t>得6-8分；</w:t>
            </w:r>
          </w:p>
          <w:p>
            <w:pPr>
              <w:pStyle w:val="5"/>
              <w:adjustRightInd w:val="0"/>
              <w:snapToGrid w:val="0"/>
              <w:jc w:val="left"/>
              <w:rPr>
                <w:rFonts w:ascii="Times New Roman" w:hAnsi="Times New Roman"/>
                <w:szCs w:val="21"/>
              </w:rPr>
            </w:pPr>
            <w:r>
              <w:rPr>
                <w:rFonts w:ascii="Times New Roman" w:hAnsi="Times New Roman"/>
                <w:szCs w:val="21"/>
              </w:rPr>
              <w:t>服务承诺</w:t>
            </w:r>
            <w:r>
              <w:rPr>
                <w:rFonts w:hint="eastAsia" w:ascii="Times New Roman" w:hAnsi="Times New Roman"/>
                <w:szCs w:val="21"/>
              </w:rPr>
              <w:t>一般</w:t>
            </w:r>
            <w:r>
              <w:rPr>
                <w:rFonts w:ascii="Times New Roman" w:hAnsi="Times New Roman"/>
                <w:szCs w:val="21"/>
              </w:rPr>
              <w:t>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Merge w:val="continue"/>
            <w:vAlign w:val="center"/>
          </w:tcPr>
          <w:p>
            <w:pPr>
              <w:pStyle w:val="5"/>
              <w:adjustRightInd w:val="0"/>
              <w:snapToGrid w:val="0"/>
              <w:jc w:val="center"/>
              <w:rPr>
                <w:rFonts w:ascii="Times New Roman" w:hAnsi="Times New Roman"/>
                <w:szCs w:val="21"/>
              </w:rPr>
            </w:pPr>
          </w:p>
        </w:tc>
        <w:tc>
          <w:tcPr>
            <w:tcW w:w="741" w:type="dxa"/>
            <w:vMerge w:val="continue"/>
            <w:vAlign w:val="center"/>
          </w:tcPr>
          <w:p>
            <w:pPr>
              <w:pStyle w:val="5"/>
              <w:adjustRightInd w:val="0"/>
              <w:snapToGrid w:val="0"/>
              <w:jc w:val="center"/>
              <w:rPr>
                <w:rFonts w:ascii="Times New Roman" w:hAnsi="Times New Roman"/>
                <w:szCs w:val="21"/>
              </w:rPr>
            </w:pPr>
          </w:p>
        </w:tc>
        <w:tc>
          <w:tcPr>
            <w:tcW w:w="781" w:type="dxa"/>
            <w:vMerge w:val="continue"/>
            <w:vAlign w:val="center"/>
          </w:tcPr>
          <w:p>
            <w:pPr>
              <w:pStyle w:val="5"/>
              <w:adjustRightInd w:val="0"/>
              <w:snapToGrid w:val="0"/>
              <w:jc w:val="center"/>
              <w:rPr>
                <w:rFonts w:ascii="Times New Roman" w:hAnsi="Times New Roman"/>
                <w:szCs w:val="21"/>
              </w:rPr>
            </w:pPr>
          </w:p>
        </w:tc>
        <w:tc>
          <w:tcPr>
            <w:tcW w:w="1276" w:type="dxa"/>
            <w:vAlign w:val="center"/>
          </w:tcPr>
          <w:p>
            <w:pPr>
              <w:pStyle w:val="5"/>
              <w:adjustRightInd w:val="0"/>
              <w:snapToGrid w:val="0"/>
              <w:jc w:val="center"/>
              <w:rPr>
                <w:rFonts w:ascii="Times New Roman" w:hAnsi="Times New Roman"/>
                <w:szCs w:val="21"/>
              </w:rPr>
            </w:pPr>
            <w:bookmarkStart w:id="42" w:name="_Hlk159435601"/>
            <w:r>
              <w:rPr>
                <w:rFonts w:ascii="Times New Roman" w:hAnsi="Times New Roman"/>
                <w:szCs w:val="21"/>
              </w:rPr>
              <w:t>设备、设施配备计划</w:t>
            </w:r>
            <w:bookmarkEnd w:id="42"/>
          </w:p>
        </w:tc>
        <w:tc>
          <w:tcPr>
            <w:tcW w:w="567" w:type="dxa"/>
            <w:vAlign w:val="center"/>
          </w:tcPr>
          <w:p>
            <w:pPr>
              <w:pStyle w:val="5"/>
              <w:adjustRightInd w:val="0"/>
              <w:snapToGrid w:val="0"/>
              <w:jc w:val="center"/>
              <w:rPr>
                <w:rFonts w:ascii="Times New Roman" w:hAnsi="Times New Roman"/>
                <w:szCs w:val="21"/>
              </w:rPr>
            </w:pPr>
            <w:r>
              <w:rPr>
                <w:rFonts w:ascii="Times New Roman" w:hAnsi="Times New Roman"/>
                <w:szCs w:val="21"/>
              </w:rPr>
              <w:t>10</w:t>
            </w:r>
          </w:p>
        </w:tc>
        <w:tc>
          <w:tcPr>
            <w:tcW w:w="5546" w:type="dxa"/>
            <w:vAlign w:val="center"/>
          </w:tcPr>
          <w:p>
            <w:pPr>
              <w:pStyle w:val="5"/>
              <w:adjustRightInd w:val="0"/>
              <w:snapToGrid w:val="0"/>
              <w:jc w:val="left"/>
              <w:rPr>
                <w:rFonts w:ascii="Times New Roman" w:hAnsi="Times New Roman"/>
                <w:szCs w:val="21"/>
              </w:rPr>
            </w:pPr>
            <w:r>
              <w:rPr>
                <w:rFonts w:ascii="Times New Roman" w:hAnsi="Times New Roman"/>
                <w:szCs w:val="21"/>
              </w:rPr>
              <w:t>设备设施配备计划科学合理、充足专业性强，得8-10分；</w:t>
            </w:r>
          </w:p>
          <w:p>
            <w:pPr>
              <w:pStyle w:val="5"/>
              <w:adjustRightInd w:val="0"/>
              <w:snapToGrid w:val="0"/>
              <w:jc w:val="left"/>
              <w:rPr>
                <w:rFonts w:ascii="Times New Roman" w:hAnsi="Times New Roman"/>
                <w:szCs w:val="21"/>
              </w:rPr>
            </w:pPr>
            <w:r>
              <w:rPr>
                <w:rFonts w:ascii="Times New Roman" w:hAnsi="Times New Roman"/>
                <w:szCs w:val="21"/>
              </w:rPr>
              <w:t>设备设施配备计划较科学合理、较充足，得6-8分；</w:t>
            </w:r>
          </w:p>
          <w:p>
            <w:pPr>
              <w:pStyle w:val="5"/>
              <w:adjustRightInd w:val="0"/>
              <w:snapToGrid w:val="0"/>
              <w:jc w:val="left"/>
              <w:rPr>
                <w:rFonts w:ascii="Times New Roman" w:hAnsi="Times New Roman"/>
                <w:szCs w:val="21"/>
              </w:rPr>
            </w:pPr>
            <w:r>
              <w:rPr>
                <w:rFonts w:ascii="Times New Roman" w:hAnsi="Times New Roman"/>
                <w:szCs w:val="21"/>
              </w:rPr>
              <w:t>设备设施配备计划</w:t>
            </w:r>
            <w:r>
              <w:rPr>
                <w:rFonts w:hint="eastAsia" w:ascii="Times New Roman" w:hAnsi="Times New Roman"/>
                <w:szCs w:val="21"/>
              </w:rPr>
              <w:t>基本</w:t>
            </w:r>
            <w:r>
              <w:rPr>
                <w:rFonts w:ascii="Times New Roman" w:hAnsi="Times New Roman"/>
                <w:szCs w:val="21"/>
              </w:rPr>
              <w:t>合理，得6分。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41" w:type="dxa"/>
            <w:tcBorders>
              <w:top w:val="nil"/>
            </w:tcBorders>
            <w:vAlign w:val="center"/>
          </w:tcPr>
          <w:p>
            <w:pPr>
              <w:pStyle w:val="5"/>
              <w:adjustRightInd w:val="0"/>
              <w:snapToGrid w:val="0"/>
              <w:jc w:val="center"/>
              <w:rPr>
                <w:rFonts w:ascii="Times New Roman" w:hAnsi="Times New Roman"/>
                <w:szCs w:val="21"/>
              </w:rPr>
            </w:pPr>
            <w:r>
              <w:rPr>
                <w:rFonts w:ascii="Times New Roman" w:hAnsi="Times New Roman"/>
                <w:szCs w:val="21"/>
              </w:rPr>
              <w:t>2.2.4（2）</w:t>
            </w:r>
          </w:p>
        </w:tc>
        <w:tc>
          <w:tcPr>
            <w:tcW w:w="741" w:type="dxa"/>
            <w:tcBorders>
              <w:top w:val="nil"/>
            </w:tcBorders>
            <w:vAlign w:val="center"/>
          </w:tcPr>
          <w:p>
            <w:pPr>
              <w:pStyle w:val="5"/>
              <w:adjustRightInd w:val="0"/>
              <w:snapToGrid w:val="0"/>
              <w:jc w:val="center"/>
              <w:rPr>
                <w:rFonts w:ascii="Times New Roman" w:hAnsi="Times New Roman"/>
                <w:szCs w:val="21"/>
              </w:rPr>
            </w:pPr>
            <w:r>
              <w:rPr>
                <w:rFonts w:ascii="Times New Roman" w:hAnsi="Times New Roman"/>
                <w:szCs w:val="21"/>
              </w:rPr>
              <w:t>主要人员</w:t>
            </w:r>
          </w:p>
        </w:tc>
        <w:tc>
          <w:tcPr>
            <w:tcW w:w="781" w:type="dxa"/>
            <w:tcBorders>
              <w:top w:val="nil"/>
              <w:bottom w:val="single" w:color="auto" w:sz="4" w:space="0"/>
            </w:tcBorders>
            <w:vAlign w:val="center"/>
          </w:tcPr>
          <w:p>
            <w:pPr>
              <w:pStyle w:val="5"/>
              <w:adjustRightInd w:val="0"/>
              <w:snapToGrid w:val="0"/>
              <w:jc w:val="center"/>
              <w:rPr>
                <w:rFonts w:ascii="Times New Roman" w:hAnsi="Times New Roman"/>
                <w:szCs w:val="21"/>
              </w:rPr>
            </w:pPr>
            <w:r>
              <w:rPr>
                <w:rFonts w:ascii="Times New Roman" w:hAnsi="Times New Roman"/>
                <w:szCs w:val="21"/>
              </w:rPr>
              <w:t>5分</w:t>
            </w:r>
          </w:p>
        </w:tc>
        <w:tc>
          <w:tcPr>
            <w:tcW w:w="1276" w:type="dxa"/>
            <w:tcBorders>
              <w:bottom w:val="single" w:color="auto" w:sz="4" w:space="0"/>
            </w:tcBorders>
            <w:vAlign w:val="center"/>
          </w:tcPr>
          <w:p>
            <w:pPr>
              <w:pStyle w:val="5"/>
              <w:adjustRightInd w:val="0"/>
              <w:snapToGrid w:val="0"/>
              <w:jc w:val="center"/>
              <w:rPr>
                <w:rFonts w:ascii="Times New Roman" w:hAnsi="Times New Roman"/>
                <w:szCs w:val="21"/>
              </w:rPr>
            </w:pPr>
            <w:r>
              <w:rPr>
                <w:rStyle w:val="18"/>
                <w:rFonts w:ascii="Times New Roman" w:hAnsi="Times New Roman"/>
                <w:szCs w:val="21"/>
              </w:rPr>
              <w:t>项目负责人任职资格与业绩</w:t>
            </w:r>
          </w:p>
        </w:tc>
        <w:tc>
          <w:tcPr>
            <w:tcW w:w="567" w:type="dxa"/>
            <w:tcBorders>
              <w:bottom w:val="single" w:color="auto" w:sz="4" w:space="0"/>
            </w:tcBorders>
            <w:vAlign w:val="center"/>
          </w:tcPr>
          <w:p>
            <w:pPr>
              <w:pStyle w:val="5"/>
              <w:adjustRightInd w:val="0"/>
              <w:snapToGrid w:val="0"/>
              <w:jc w:val="center"/>
              <w:rPr>
                <w:rFonts w:ascii="Times New Roman" w:hAnsi="Times New Roman"/>
                <w:szCs w:val="21"/>
              </w:rPr>
            </w:pPr>
            <w:r>
              <w:rPr>
                <w:rFonts w:ascii="Times New Roman" w:hAnsi="Times New Roman"/>
                <w:szCs w:val="21"/>
              </w:rPr>
              <w:t>5分</w:t>
            </w:r>
          </w:p>
        </w:tc>
        <w:tc>
          <w:tcPr>
            <w:tcW w:w="5546" w:type="dxa"/>
            <w:tcBorders>
              <w:bottom w:val="single" w:color="auto" w:sz="4" w:space="0"/>
            </w:tcBorders>
            <w:vAlign w:val="center"/>
          </w:tcPr>
          <w:p>
            <w:pPr>
              <w:adjustRightInd w:val="0"/>
              <w:snapToGrid w:val="0"/>
              <w:jc w:val="left"/>
              <w:rPr>
                <w:kern w:val="2"/>
                <w:sz w:val="21"/>
                <w:szCs w:val="21"/>
              </w:rPr>
            </w:pPr>
            <w:r>
              <w:rPr>
                <w:kern w:val="2"/>
                <w:sz w:val="21"/>
                <w:szCs w:val="21"/>
              </w:rPr>
              <w:t>满足资格审查条件（项目负责人最低要求）得3分；</w:t>
            </w:r>
          </w:p>
          <w:p>
            <w:pPr>
              <w:adjustRightInd w:val="0"/>
              <w:snapToGrid w:val="0"/>
              <w:jc w:val="left"/>
              <w:rPr>
                <w:kern w:val="2"/>
                <w:sz w:val="21"/>
                <w:szCs w:val="21"/>
              </w:rPr>
            </w:pPr>
            <w:r>
              <w:rPr>
                <w:kern w:val="2"/>
                <w:sz w:val="21"/>
                <w:szCs w:val="21"/>
              </w:rPr>
              <w:t>每增加一个满足资格审查条件（项目负责人最低要求）业绩，加1分，最多加2分。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1" w:type="dxa"/>
            <w:tcBorders>
              <w:top w:val="nil"/>
            </w:tcBorders>
            <w:vAlign w:val="center"/>
          </w:tcPr>
          <w:p>
            <w:pPr>
              <w:pStyle w:val="5"/>
              <w:adjustRightInd w:val="0"/>
              <w:snapToGrid w:val="0"/>
              <w:jc w:val="center"/>
              <w:rPr>
                <w:rFonts w:ascii="Times New Roman" w:hAnsi="Times New Roman"/>
                <w:szCs w:val="21"/>
              </w:rPr>
            </w:pPr>
            <w:r>
              <w:rPr>
                <w:rFonts w:ascii="Times New Roman" w:hAnsi="Times New Roman"/>
                <w:szCs w:val="21"/>
              </w:rPr>
              <w:t>2.2.4（3）</w:t>
            </w:r>
          </w:p>
        </w:tc>
        <w:tc>
          <w:tcPr>
            <w:tcW w:w="741" w:type="dxa"/>
            <w:tcBorders>
              <w:top w:val="nil"/>
            </w:tcBorders>
            <w:vAlign w:val="center"/>
          </w:tcPr>
          <w:p>
            <w:pPr>
              <w:pStyle w:val="5"/>
              <w:adjustRightInd w:val="0"/>
              <w:snapToGrid w:val="0"/>
              <w:jc w:val="center"/>
              <w:rPr>
                <w:rFonts w:ascii="Times New Roman" w:hAnsi="Times New Roman"/>
                <w:szCs w:val="21"/>
              </w:rPr>
            </w:pPr>
            <w:r>
              <w:rPr>
                <w:rFonts w:ascii="Times New Roman" w:hAnsi="Times New Roman"/>
                <w:szCs w:val="21"/>
              </w:rPr>
              <w:t>评标价</w:t>
            </w:r>
          </w:p>
        </w:tc>
        <w:tc>
          <w:tcPr>
            <w:tcW w:w="781" w:type="dxa"/>
            <w:tcBorders>
              <w:top w:val="nil"/>
              <w:bottom w:val="single" w:color="auto" w:sz="4" w:space="0"/>
            </w:tcBorders>
            <w:vAlign w:val="center"/>
          </w:tcPr>
          <w:p>
            <w:pPr>
              <w:pStyle w:val="5"/>
              <w:adjustRightInd w:val="0"/>
              <w:snapToGrid w:val="0"/>
              <w:jc w:val="center"/>
              <w:rPr>
                <w:rFonts w:ascii="Times New Roman" w:hAnsi="Times New Roman"/>
                <w:szCs w:val="21"/>
              </w:rPr>
            </w:pPr>
            <w:r>
              <w:rPr>
                <w:rFonts w:ascii="Times New Roman" w:hAnsi="Times New Roman"/>
                <w:szCs w:val="21"/>
              </w:rPr>
              <w:t>30分</w:t>
            </w:r>
          </w:p>
        </w:tc>
        <w:tc>
          <w:tcPr>
            <w:tcW w:w="7389" w:type="dxa"/>
            <w:gridSpan w:val="3"/>
            <w:tcBorders>
              <w:bottom w:val="single" w:color="auto" w:sz="4" w:space="0"/>
            </w:tcBorders>
            <w:vAlign w:val="center"/>
          </w:tcPr>
          <w:p>
            <w:pPr>
              <w:adjustRightInd w:val="0"/>
              <w:snapToGrid w:val="0"/>
              <w:jc w:val="left"/>
              <w:rPr>
                <w:kern w:val="2"/>
                <w:sz w:val="21"/>
                <w:szCs w:val="21"/>
              </w:rPr>
            </w:pPr>
            <w:r>
              <w:rPr>
                <w:kern w:val="2"/>
                <w:sz w:val="21"/>
                <w:szCs w:val="21"/>
              </w:rPr>
              <w:t>评标价得分计算公式示例：</w:t>
            </w:r>
          </w:p>
          <w:p>
            <w:pPr>
              <w:adjustRightInd w:val="0"/>
              <w:snapToGrid w:val="0"/>
              <w:jc w:val="left"/>
              <w:rPr>
                <w:kern w:val="2"/>
                <w:sz w:val="21"/>
                <w:szCs w:val="21"/>
              </w:rPr>
            </w:pPr>
            <w:r>
              <w:rPr>
                <w:kern w:val="2"/>
                <w:sz w:val="21"/>
                <w:szCs w:val="21"/>
              </w:rPr>
              <w:t>（1）如果投标人的评标价＞评标基准价，则评标价得分=F-（投标人评标价-评标基准价）/评标基准价×100×E1；</w:t>
            </w:r>
          </w:p>
          <w:p>
            <w:pPr>
              <w:adjustRightInd w:val="0"/>
              <w:snapToGrid w:val="0"/>
              <w:jc w:val="left"/>
              <w:rPr>
                <w:kern w:val="2"/>
                <w:sz w:val="21"/>
                <w:szCs w:val="21"/>
              </w:rPr>
            </w:pPr>
            <w:r>
              <w:rPr>
                <w:kern w:val="2"/>
                <w:sz w:val="21"/>
                <w:szCs w:val="21"/>
              </w:rPr>
              <w:t>（2）如果投标人的评标价≤评标基准价，则评标价得分=F+（投标人评标价-评标基准价）/评标基准价×100×E2。</w:t>
            </w:r>
          </w:p>
          <w:p>
            <w:pPr>
              <w:pStyle w:val="33"/>
              <w:adjustRightInd w:val="0"/>
              <w:snapToGrid w:val="0"/>
              <w:rPr>
                <w:rFonts w:cs="Times New Roman"/>
                <w:szCs w:val="21"/>
              </w:rPr>
            </w:pPr>
            <w:r>
              <w:rPr>
                <w:rFonts w:cs="Times New Roman"/>
                <w:szCs w:val="21"/>
              </w:rPr>
              <w:t>其中，F=</w:t>
            </w:r>
            <w:r>
              <w:rPr>
                <w:rFonts w:hint="eastAsia" w:cs="Times New Roman"/>
                <w:szCs w:val="21"/>
              </w:rPr>
              <w:t>3</w:t>
            </w:r>
            <w:r>
              <w:rPr>
                <w:rFonts w:cs="Times New Roman"/>
                <w:szCs w:val="21"/>
              </w:rPr>
              <w:t>0；E1=0.2；E2=0.1；评标价最低得分为0分。</w:t>
            </w:r>
          </w:p>
          <w:p>
            <w:pPr>
              <w:adjustRightInd w:val="0"/>
              <w:snapToGrid w:val="0"/>
              <w:jc w:val="left"/>
              <w:rPr>
                <w:kern w:val="2"/>
                <w:sz w:val="21"/>
                <w:szCs w:val="21"/>
              </w:rPr>
            </w:pPr>
            <w:r>
              <w:rPr>
                <w:kern w:val="2"/>
                <w:sz w:val="21"/>
                <w:szCs w:val="21"/>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41" w:type="dxa"/>
            <w:vAlign w:val="center"/>
          </w:tcPr>
          <w:p>
            <w:pPr>
              <w:pStyle w:val="5"/>
              <w:adjustRightInd w:val="0"/>
              <w:snapToGrid w:val="0"/>
              <w:jc w:val="center"/>
              <w:rPr>
                <w:rFonts w:ascii="Times New Roman" w:hAnsi="Times New Roman"/>
                <w:szCs w:val="21"/>
              </w:rPr>
            </w:pPr>
            <w:r>
              <w:rPr>
                <w:rFonts w:ascii="Times New Roman" w:hAnsi="Times New Roman"/>
                <w:szCs w:val="21"/>
              </w:rPr>
              <w:t>2.2.4（4）</w:t>
            </w:r>
          </w:p>
        </w:tc>
        <w:tc>
          <w:tcPr>
            <w:tcW w:w="741" w:type="dxa"/>
            <w:vAlign w:val="center"/>
          </w:tcPr>
          <w:p>
            <w:pPr>
              <w:pStyle w:val="5"/>
              <w:adjustRightInd w:val="0"/>
              <w:snapToGrid w:val="0"/>
              <w:jc w:val="center"/>
              <w:rPr>
                <w:rFonts w:ascii="Times New Roman" w:hAnsi="Times New Roman"/>
                <w:szCs w:val="21"/>
              </w:rPr>
            </w:pPr>
            <w:r>
              <w:rPr>
                <w:rFonts w:ascii="Times New Roman" w:hAnsi="Times New Roman"/>
                <w:szCs w:val="21"/>
              </w:rPr>
              <w:t>其他因素</w:t>
            </w:r>
          </w:p>
        </w:tc>
        <w:tc>
          <w:tcPr>
            <w:tcW w:w="781" w:type="dxa"/>
            <w:tcBorders>
              <w:top w:val="single" w:color="auto" w:sz="4" w:space="0"/>
            </w:tcBorders>
            <w:vAlign w:val="center"/>
          </w:tcPr>
          <w:p>
            <w:pPr>
              <w:pStyle w:val="5"/>
              <w:adjustRightInd w:val="0"/>
              <w:snapToGrid w:val="0"/>
              <w:jc w:val="center"/>
              <w:rPr>
                <w:rFonts w:ascii="Times New Roman" w:hAnsi="Times New Roman"/>
                <w:szCs w:val="21"/>
              </w:rPr>
            </w:pPr>
            <w:r>
              <w:rPr>
                <w:rFonts w:ascii="Times New Roman" w:hAnsi="Times New Roman"/>
                <w:szCs w:val="21"/>
              </w:rPr>
              <w:t>15分</w:t>
            </w:r>
          </w:p>
        </w:tc>
        <w:tc>
          <w:tcPr>
            <w:tcW w:w="1276" w:type="dxa"/>
            <w:tcBorders>
              <w:top w:val="single" w:color="auto" w:sz="4" w:space="0"/>
            </w:tcBorders>
            <w:vAlign w:val="center"/>
          </w:tcPr>
          <w:p>
            <w:pPr>
              <w:pStyle w:val="5"/>
              <w:adjustRightInd w:val="0"/>
              <w:snapToGrid w:val="0"/>
              <w:jc w:val="center"/>
              <w:rPr>
                <w:rFonts w:ascii="Times New Roman" w:hAnsi="Times New Roman"/>
                <w:szCs w:val="21"/>
              </w:rPr>
            </w:pPr>
            <w:r>
              <w:rPr>
                <w:rFonts w:ascii="Times New Roman" w:hAnsi="Times New Roman"/>
                <w:szCs w:val="21"/>
              </w:rPr>
              <w:t>业绩</w:t>
            </w:r>
          </w:p>
        </w:tc>
        <w:tc>
          <w:tcPr>
            <w:tcW w:w="567" w:type="dxa"/>
            <w:tcBorders>
              <w:top w:val="single" w:color="auto" w:sz="4" w:space="0"/>
            </w:tcBorders>
            <w:vAlign w:val="center"/>
          </w:tcPr>
          <w:p>
            <w:pPr>
              <w:pStyle w:val="5"/>
              <w:adjustRightInd w:val="0"/>
              <w:snapToGrid w:val="0"/>
              <w:jc w:val="center"/>
              <w:rPr>
                <w:rFonts w:ascii="Times New Roman" w:hAnsi="Times New Roman"/>
                <w:szCs w:val="21"/>
              </w:rPr>
            </w:pPr>
            <w:r>
              <w:rPr>
                <w:rFonts w:ascii="Times New Roman" w:hAnsi="Times New Roman"/>
                <w:szCs w:val="21"/>
              </w:rPr>
              <w:t>15分</w:t>
            </w:r>
          </w:p>
        </w:tc>
        <w:tc>
          <w:tcPr>
            <w:tcW w:w="5546" w:type="dxa"/>
            <w:tcBorders>
              <w:top w:val="single" w:color="auto" w:sz="4" w:space="0"/>
            </w:tcBorders>
            <w:vAlign w:val="center"/>
          </w:tcPr>
          <w:p>
            <w:pPr>
              <w:adjustRightInd w:val="0"/>
              <w:snapToGrid w:val="0"/>
              <w:jc w:val="left"/>
              <w:rPr>
                <w:kern w:val="2"/>
                <w:sz w:val="21"/>
                <w:szCs w:val="21"/>
              </w:rPr>
            </w:pPr>
            <w:r>
              <w:rPr>
                <w:kern w:val="2"/>
                <w:sz w:val="21"/>
                <w:szCs w:val="21"/>
              </w:rPr>
              <w:t>满足资格审查条件（业绩最低要求）得9分；</w:t>
            </w:r>
          </w:p>
          <w:p>
            <w:pPr>
              <w:adjustRightInd w:val="0"/>
              <w:snapToGrid w:val="0"/>
              <w:jc w:val="left"/>
              <w:rPr>
                <w:kern w:val="2"/>
                <w:sz w:val="21"/>
                <w:szCs w:val="21"/>
              </w:rPr>
            </w:pPr>
            <w:r>
              <w:rPr>
                <w:kern w:val="2"/>
                <w:sz w:val="21"/>
                <w:szCs w:val="21"/>
              </w:rPr>
              <w:t>每增加一个满足资格审查条件（业绩最低要求）业绩，加3分，最多加6分。</w:t>
            </w:r>
          </w:p>
        </w:tc>
      </w:tr>
      <w:bookmarkEnd w:id="37"/>
    </w:tbl>
    <w:p>
      <w:pPr>
        <w:pStyle w:val="5"/>
      </w:pPr>
    </w:p>
    <w:bookmarkEnd w:id="31"/>
    <w:bookmarkEnd w:id="32"/>
    <w:bookmarkEnd w:id="33"/>
    <w:bookmarkEnd w:id="34"/>
    <w:bookmarkEnd w:id="35"/>
    <w:p>
      <w:pPr>
        <w:rPr>
          <w:kern w:val="0"/>
          <w:sz w:val="20"/>
          <w:lang w:val="zh-CN"/>
        </w:rPr>
      </w:pPr>
      <w:r>
        <w:rPr>
          <w:kern w:val="0"/>
          <w:sz w:val="20"/>
          <w:lang w:val="zh-CN"/>
        </w:rPr>
        <w:t>注：1、评审因素得分应以评标委员会各成员的打分平均值确定。</w:t>
      </w:r>
    </w:p>
    <w:p>
      <w:pPr>
        <w:ind w:firstLine="400" w:firstLineChars="200"/>
        <w:rPr>
          <w:kern w:val="0"/>
          <w:sz w:val="20"/>
          <w:lang w:val="zh-CN"/>
        </w:rPr>
      </w:pPr>
      <w:r>
        <w:rPr>
          <w:kern w:val="0"/>
          <w:sz w:val="20"/>
          <w:lang w:val="zh-CN"/>
        </w:rPr>
        <w:t>2、技术建议书各评分因素细分项的细分项缺项则该项得0分。</w:t>
      </w:r>
    </w:p>
    <w:p>
      <w:r>
        <w:rPr>
          <w:kern w:val="0"/>
          <w:sz w:val="20"/>
          <w:lang w:val="zh-CN"/>
        </w:rPr>
        <w:t>3、技术建议书评分时保留1位小数，评标价得分计算时保留两位小数。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E6D2C"/>
    <w:multiLevelType w:val="singleLevel"/>
    <w:tmpl w:val="56CE6D2C"/>
    <w:lvl w:ilvl="0" w:tentative="0">
      <w:start w:val="0"/>
      <w:numFmt w:val="decimal"/>
      <w:pStyle w:val="4"/>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8E34DB"/>
    <w:rsid w:val="00281333"/>
    <w:rsid w:val="002E0596"/>
    <w:rsid w:val="004335CE"/>
    <w:rsid w:val="008E34DB"/>
    <w:rsid w:val="00A135D0"/>
    <w:rsid w:val="00AE1EDE"/>
    <w:rsid w:val="00B74B38"/>
    <w:rsid w:val="00EF57B5"/>
    <w:rsid w:val="79B71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4"/>
      <w:szCs w:val="20"/>
      <w:lang w:val="en-US" w:eastAsia="zh-CN" w:bidi="ar-SA"/>
    </w:rPr>
  </w:style>
  <w:style w:type="paragraph" w:styleId="2">
    <w:name w:val="heading 2"/>
    <w:basedOn w:val="1"/>
    <w:next w:val="1"/>
    <w:link w:val="3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5"/>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12"/>
    <w:qFormat/>
    <w:uiPriority w:val="99"/>
    <w:pPr>
      <w:widowControl/>
      <w:numPr>
        <w:ilvl w:val="0"/>
        <w:numId w:val="1"/>
      </w:numPr>
      <w:overflowPunct w:val="0"/>
      <w:autoSpaceDE w:val="0"/>
      <w:autoSpaceDN w:val="0"/>
      <w:adjustRightInd w:val="0"/>
      <w:spacing w:line="360" w:lineRule="auto"/>
      <w:jc w:val="left"/>
      <w:textAlignment w:val="baseline"/>
      <w:outlineLvl w:val="0"/>
    </w:pPr>
  </w:style>
  <w:style w:type="paragraph" w:styleId="5">
    <w:name w:val="Plain Text"/>
    <w:basedOn w:val="1"/>
    <w:link w:val="15"/>
    <w:qFormat/>
    <w:uiPriority w:val="0"/>
    <w:rPr>
      <w:rFonts w:ascii="宋体" w:hAnsi="Courier New"/>
      <w:kern w:val="2"/>
      <w:sz w:val="21"/>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tabs>
        <w:tab w:val="center" w:pos="4153"/>
        <w:tab w:val="right" w:pos="8306"/>
      </w:tabs>
      <w:snapToGrid w:val="0"/>
      <w:jc w:val="center"/>
    </w:pPr>
    <w:rPr>
      <w:sz w:val="18"/>
      <w:szCs w:val="18"/>
    </w:rPr>
  </w:style>
  <w:style w:type="paragraph" w:styleId="8">
    <w:name w:val="toc 4"/>
    <w:basedOn w:val="1"/>
    <w:next w:val="1"/>
    <w:unhideWhenUsed/>
    <w:qFormat/>
    <w:uiPriority w:val="39"/>
    <w:pPr>
      <w:ind w:left="1260" w:leftChars="600"/>
    </w:pPr>
    <w:rPr>
      <w:rFonts w:ascii="Calibri" w:hAnsi="Calibri"/>
      <w:kern w:val="2"/>
      <w:sz w:val="21"/>
      <w:szCs w:val="22"/>
    </w:rPr>
  </w:style>
  <w:style w:type="paragraph" w:styleId="9">
    <w:name w:val="Normal (Web)"/>
    <w:basedOn w:val="1"/>
    <w:link w:val="16"/>
    <w:qFormat/>
    <w:uiPriority w:val="0"/>
    <w:pPr>
      <w:widowControl/>
      <w:spacing w:before="100" w:beforeAutospacing="1" w:after="100" w:afterAutospacing="1" w:line="432" w:lineRule="auto"/>
      <w:ind w:firstLine="480"/>
      <w:jc w:val="left"/>
    </w:pPr>
    <w:rPr>
      <w:rFonts w:ascii="宋体" w:hAnsi="宋体"/>
      <w:kern w:val="0"/>
      <w:szCs w:val="24"/>
    </w:rPr>
  </w:style>
  <w:style w:type="character" w:customStyle="1" w:styleId="12">
    <w:name w:val="正文文本 字符"/>
    <w:basedOn w:val="11"/>
    <w:link w:val="4"/>
    <w:qFormat/>
    <w:uiPriority w:val="99"/>
  </w:style>
  <w:style w:type="character" w:customStyle="1" w:styleId="13">
    <w:name w:val="页眉 字符"/>
    <w:basedOn w:val="11"/>
    <w:link w:val="7"/>
    <w:qFormat/>
    <w:uiPriority w:val="99"/>
    <w:rPr>
      <w:rFonts w:cs="Times New Roman"/>
      <w:kern w:val="28"/>
      <w:sz w:val="18"/>
      <w:szCs w:val="18"/>
    </w:rPr>
  </w:style>
  <w:style w:type="character" w:customStyle="1" w:styleId="14">
    <w:name w:val="页脚 字符"/>
    <w:basedOn w:val="11"/>
    <w:link w:val="6"/>
    <w:qFormat/>
    <w:uiPriority w:val="99"/>
    <w:rPr>
      <w:rFonts w:cs="Times New Roman"/>
      <w:kern w:val="28"/>
      <w:sz w:val="18"/>
      <w:szCs w:val="18"/>
    </w:rPr>
  </w:style>
  <w:style w:type="character" w:customStyle="1" w:styleId="15">
    <w:name w:val="纯文本 字符"/>
    <w:basedOn w:val="11"/>
    <w:link w:val="5"/>
    <w:qFormat/>
    <w:uiPriority w:val="0"/>
    <w:rPr>
      <w:rFonts w:ascii="宋体" w:hAnsi="Courier New" w:cs="Times New Roman"/>
      <w:sz w:val="21"/>
      <w:szCs w:val="20"/>
    </w:rPr>
  </w:style>
  <w:style w:type="character" w:customStyle="1" w:styleId="16">
    <w:name w:val="普通(网站) 字符1"/>
    <w:link w:val="9"/>
    <w:qFormat/>
    <w:uiPriority w:val="0"/>
    <w:rPr>
      <w:rFonts w:ascii="宋体" w:hAnsi="宋体" w:cs="Times New Roman"/>
      <w:kern w:val="0"/>
      <w:szCs w:val="24"/>
    </w:rPr>
  </w:style>
  <w:style w:type="character" w:customStyle="1" w:styleId="17">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character" w:customStyle="1" w:styleId="18">
    <w:name w:val="正文文本 (2) + 10 pt"/>
    <w:qFormat/>
    <w:uiPriority w:val="0"/>
    <w:rPr>
      <w:rFonts w:ascii="宋体" w:hAnsi="宋体" w:eastAsia="宋体" w:cs="宋体"/>
      <w:color w:val="000000"/>
      <w:spacing w:val="0"/>
      <w:w w:val="100"/>
      <w:position w:val="0"/>
      <w:sz w:val="20"/>
      <w:szCs w:val="20"/>
      <w:u w:val="none"/>
      <w:shd w:val="clear" w:color="auto" w:fill="FFFFFF"/>
      <w:lang w:val="zh-CN" w:eastAsia="zh-CN" w:bidi="zh-CN"/>
    </w:rPr>
  </w:style>
  <w:style w:type="paragraph" w:customStyle="1" w:styleId="19">
    <w:name w:val="样式30"/>
    <w:basedOn w:val="3"/>
    <w:qFormat/>
    <w:uiPriority w:val="0"/>
    <w:pPr>
      <w:spacing w:before="0" w:after="0" w:line="360" w:lineRule="auto"/>
      <w:ind w:firstLine="200" w:firstLineChars="200"/>
    </w:pPr>
    <w:rPr>
      <w:sz w:val="24"/>
    </w:rPr>
  </w:style>
  <w:style w:type="paragraph" w:customStyle="1" w:styleId="20">
    <w:name w:val="样式27"/>
    <w:basedOn w:val="3"/>
    <w:qFormat/>
    <w:uiPriority w:val="0"/>
    <w:pPr>
      <w:spacing w:before="0" w:after="0" w:line="360" w:lineRule="auto"/>
      <w:ind w:firstLine="200" w:firstLineChars="200"/>
    </w:pPr>
    <w:rPr>
      <w:sz w:val="24"/>
    </w:rPr>
  </w:style>
  <w:style w:type="paragraph" w:customStyle="1" w:styleId="21">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22">
    <w:name w:val="样式23"/>
    <w:basedOn w:val="1"/>
    <w:qFormat/>
    <w:uiPriority w:val="0"/>
    <w:pPr>
      <w:keepNext/>
      <w:keepLines/>
      <w:spacing w:line="360" w:lineRule="auto"/>
      <w:ind w:firstLine="200" w:firstLineChars="200"/>
      <w:outlineLvl w:val="2"/>
    </w:pPr>
    <w:rPr>
      <w:b/>
      <w:bCs/>
      <w:szCs w:val="32"/>
    </w:rPr>
  </w:style>
  <w:style w:type="paragraph" w:customStyle="1" w:styleId="23">
    <w:name w:val="样式26"/>
    <w:basedOn w:val="1"/>
    <w:qFormat/>
    <w:uiPriority w:val="0"/>
    <w:pPr>
      <w:keepNext/>
      <w:keepLines/>
      <w:spacing w:line="360" w:lineRule="auto"/>
      <w:ind w:firstLine="562" w:firstLineChars="200"/>
      <w:outlineLvl w:val="2"/>
    </w:pPr>
    <w:rPr>
      <w:b/>
      <w:bCs/>
      <w:szCs w:val="32"/>
    </w:rPr>
  </w:style>
  <w:style w:type="paragraph" w:customStyle="1" w:styleId="24">
    <w:name w:val="样式124"/>
    <w:basedOn w:val="3"/>
    <w:qFormat/>
    <w:uiPriority w:val="0"/>
    <w:pPr>
      <w:spacing w:before="0" w:after="0" w:line="360" w:lineRule="auto"/>
      <w:ind w:firstLine="200" w:firstLineChars="200"/>
    </w:pPr>
    <w:rPr>
      <w:sz w:val="24"/>
    </w:rPr>
  </w:style>
  <w:style w:type="paragraph" w:customStyle="1" w:styleId="25">
    <w:name w:val="样式54"/>
    <w:basedOn w:val="2"/>
    <w:qFormat/>
    <w:uiPriority w:val="0"/>
    <w:pPr>
      <w:spacing w:before="0" w:after="0" w:line="360" w:lineRule="auto"/>
      <w:jc w:val="center"/>
    </w:pPr>
    <w:rPr>
      <w:rFonts w:ascii="Arial" w:hAnsi="Arial" w:eastAsia="黑体" w:cs="Times New Roman"/>
    </w:rPr>
  </w:style>
  <w:style w:type="paragraph" w:customStyle="1" w:styleId="26">
    <w:name w:val="样式 首行缩进:  1 厘米 行距: 固定值 25 磅"/>
    <w:basedOn w:val="1"/>
    <w:qFormat/>
    <w:uiPriority w:val="0"/>
    <w:pPr>
      <w:adjustRightInd w:val="0"/>
      <w:spacing w:line="440" w:lineRule="exact"/>
      <w:ind w:firstLine="480" w:firstLineChars="200"/>
      <w:textAlignment w:val="baseline"/>
    </w:pPr>
    <w:rPr>
      <w:rFonts w:ascii="宋体" w:hAnsi="宋体" w:cs="Arial"/>
      <w:kern w:val="2"/>
      <w:szCs w:val="28"/>
    </w:rPr>
  </w:style>
  <w:style w:type="paragraph" w:customStyle="1" w:styleId="27">
    <w:name w:val="样式22"/>
    <w:basedOn w:val="1"/>
    <w:qFormat/>
    <w:uiPriority w:val="0"/>
    <w:pPr>
      <w:keepNext/>
      <w:keepLines/>
      <w:spacing w:line="360" w:lineRule="auto"/>
      <w:ind w:firstLine="200" w:firstLineChars="200"/>
      <w:outlineLvl w:val="2"/>
    </w:pPr>
    <w:rPr>
      <w:b/>
      <w:bCs/>
      <w:szCs w:val="32"/>
    </w:rPr>
  </w:style>
  <w:style w:type="paragraph" w:customStyle="1" w:styleId="28">
    <w:name w:val="样式25"/>
    <w:basedOn w:val="1"/>
    <w:qFormat/>
    <w:uiPriority w:val="0"/>
    <w:pPr>
      <w:keepNext/>
      <w:keepLines/>
      <w:spacing w:line="360" w:lineRule="auto"/>
      <w:ind w:firstLine="200" w:firstLineChars="200"/>
      <w:outlineLvl w:val="2"/>
    </w:pPr>
    <w:rPr>
      <w:b/>
      <w:bCs/>
      <w:szCs w:val="32"/>
    </w:rPr>
  </w:style>
  <w:style w:type="character" w:customStyle="1" w:styleId="29">
    <w:name w:val="NormalCharacter"/>
    <w:link w:val="30"/>
    <w:qFormat/>
    <w:uiPriority w:val="0"/>
  </w:style>
  <w:style w:type="paragraph" w:customStyle="1" w:styleId="30">
    <w:name w:val="UserStyle_24"/>
    <w:basedOn w:val="1"/>
    <w:link w:val="29"/>
    <w:qFormat/>
    <w:uiPriority w:val="0"/>
    <w:pPr>
      <w:widowControl/>
      <w:spacing w:line="360" w:lineRule="auto"/>
      <w:ind w:firstLine="200" w:firstLineChars="200"/>
      <w:jc w:val="left"/>
    </w:pPr>
    <w:rPr>
      <w:rFonts w:cstheme="minorBidi"/>
      <w:kern w:val="2"/>
      <w:szCs w:val="22"/>
    </w:rPr>
  </w:style>
  <w:style w:type="paragraph" w:customStyle="1" w:styleId="31">
    <w:name w:val="样式 五号 首行缩进:  2 字符"/>
    <w:basedOn w:val="1"/>
    <w:link w:val="32"/>
    <w:qFormat/>
    <w:uiPriority w:val="0"/>
    <w:pPr>
      <w:ind w:firstLine="420" w:firstLineChars="200"/>
    </w:pPr>
    <w:rPr>
      <w:rFonts w:cs="宋体"/>
      <w:sz w:val="21"/>
    </w:rPr>
  </w:style>
  <w:style w:type="character" w:customStyle="1" w:styleId="32">
    <w:name w:val="样式 五号 首行缩进:  2 字符 字符"/>
    <w:link w:val="31"/>
    <w:qFormat/>
    <w:uiPriority w:val="0"/>
    <w:rPr>
      <w:rFonts w:cs="宋体"/>
      <w:kern w:val="28"/>
      <w:sz w:val="21"/>
      <w:szCs w:val="20"/>
    </w:rPr>
  </w:style>
  <w:style w:type="paragraph" w:customStyle="1" w:styleId="33">
    <w:name w:val="样式 五号 左"/>
    <w:basedOn w:val="1"/>
    <w:link w:val="34"/>
    <w:qFormat/>
    <w:uiPriority w:val="0"/>
    <w:pPr>
      <w:jc w:val="left"/>
    </w:pPr>
    <w:rPr>
      <w:rFonts w:cs="宋体"/>
      <w:sz w:val="21"/>
    </w:rPr>
  </w:style>
  <w:style w:type="character" w:customStyle="1" w:styleId="34">
    <w:name w:val="样式 五号 左 字符"/>
    <w:link w:val="33"/>
    <w:qFormat/>
    <w:uiPriority w:val="0"/>
    <w:rPr>
      <w:rFonts w:cs="宋体"/>
      <w:kern w:val="28"/>
      <w:sz w:val="21"/>
      <w:szCs w:val="20"/>
    </w:rPr>
  </w:style>
  <w:style w:type="character" w:customStyle="1" w:styleId="35">
    <w:name w:val="标题 3 字符"/>
    <w:basedOn w:val="11"/>
    <w:link w:val="3"/>
    <w:semiHidden/>
    <w:qFormat/>
    <w:uiPriority w:val="9"/>
    <w:rPr>
      <w:rFonts w:cs="Times New Roman"/>
      <w:b/>
      <w:bCs/>
      <w:kern w:val="28"/>
      <w:sz w:val="32"/>
      <w:szCs w:val="32"/>
    </w:rPr>
  </w:style>
  <w:style w:type="character" w:customStyle="1" w:styleId="36">
    <w:name w:val="标题 2 字符"/>
    <w:basedOn w:val="11"/>
    <w:link w:val="2"/>
    <w:semiHidden/>
    <w:qFormat/>
    <w:uiPriority w:val="9"/>
    <w:rPr>
      <w:rFonts w:asciiTheme="majorHAnsi" w:hAnsiTheme="majorHAnsi" w:eastAsiaTheme="majorEastAsia" w:cstheme="majorBidi"/>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870</Words>
  <Characters>4965</Characters>
  <Lines>41</Lines>
  <Paragraphs>11</Paragraphs>
  <TotalTime>0</TotalTime>
  <ScaleCrop>false</ScaleCrop>
  <LinksUpToDate>false</LinksUpToDate>
  <CharactersWithSpaces>5824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2024-03-06T09:03:00Z</dcterms:created>
  <dc:creator>nan hao</dc:creator>
  <cp:lastModifiedBy>李娜</cp:lastModifiedBy>
  <dcterms:modified xsi:type="dcterms:W3CDTF">2024-03-06T09:29:15Z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9B77A721B0034C0882AE6F23AA7804D1_12</vt:lpwstr>
  </property>
</Properties>
</file>