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河北高速公路集团有限公司张承张家口分公司</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高寒地区公路隧道水消防电伴热系统智能降耗和自动巡检技术应用研究</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color w:val="auto"/>
          <w:highlight w:val="none"/>
          <w:lang w:val="en-US"/>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ZXGS-JBGS-202405-3</w:t>
      </w: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lang w:eastAsia="zh-CN"/>
        </w:rPr>
        <w:t>用户单位</w:t>
      </w:r>
      <w:r>
        <w:rPr>
          <w:rFonts w:hint="eastAsia" w:ascii="宋体" w:hAnsi="宋体"/>
          <w:bCs/>
          <w:color w:val="auto"/>
          <w:sz w:val="28"/>
          <w:szCs w:val="28"/>
          <w:highlight w:val="none"/>
        </w:rPr>
        <w:t>：河北高速公路集团有限公司</w:t>
      </w:r>
      <w:r>
        <w:rPr>
          <w:rFonts w:hint="eastAsia" w:ascii="宋体" w:hAnsi="宋体"/>
          <w:bCs/>
          <w:color w:val="auto"/>
          <w:sz w:val="28"/>
          <w:szCs w:val="28"/>
          <w:highlight w:val="none"/>
          <w:lang w:eastAsia="zh-CN"/>
        </w:rPr>
        <w:t>张承张家口分公司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4"/>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color w:val="auto"/>
          <w:highlight w:val="none"/>
        </w:rPr>
      </w:pPr>
    </w:p>
    <w:p>
      <w:pPr>
        <w:pStyle w:val="101"/>
        <w:jc w:val="center"/>
        <w:rPr>
          <w:rFonts w:ascii="宋体" w:hAnsi="宋体"/>
          <w:b w:val="0"/>
          <w:color w:val="auto"/>
          <w:highlight w:val="none"/>
        </w:rPr>
      </w:pPr>
      <w:bookmarkStart w:id="0" w:name="_Toc20130"/>
      <w:bookmarkStart w:id="1" w:name="_Toc1184"/>
      <w:bookmarkStart w:id="2" w:name="_Toc144974479"/>
      <w:bookmarkStart w:id="3" w:name="_Toc152042287"/>
      <w:bookmarkStart w:id="4" w:name="_Toc152045511"/>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r>
        <w:rPr>
          <w:rFonts w:ascii="宋体" w:hAnsi="宋体"/>
          <w:color w:val="auto"/>
          <w:szCs w:val="21"/>
          <w:highlight w:val="none"/>
        </w:rPr>
        <w:fldChar w:fldCharType="begin"/>
      </w:r>
      <w:r>
        <w:rPr>
          <w:rFonts w:ascii="宋体" w:hAnsi="宋体"/>
          <w:color w:val="auto"/>
          <w:szCs w:val="21"/>
          <w:highlight w:val="none"/>
        </w:rPr>
        <w:instrText xml:space="preserve"> HYPERLINK \l _Toc741 </w:instrText>
      </w:r>
      <w:r>
        <w:rPr>
          <w:rFonts w:ascii="宋体" w:hAnsi="宋体"/>
          <w:color w:val="auto"/>
          <w:szCs w:val="21"/>
          <w:highlight w:val="none"/>
        </w:rPr>
        <w:fldChar w:fldCharType="separate"/>
      </w:r>
      <w:r>
        <w:rPr>
          <w:rFonts w:ascii="宋体" w:hAnsi="宋体"/>
          <w:color w:val="auto"/>
          <w:szCs w:val="32"/>
          <w:highlight w:val="none"/>
        </w:rPr>
        <w:t>第一章</w:t>
      </w:r>
      <w:r>
        <w:rPr>
          <w:rFonts w:hint="eastAsia" w:ascii="宋体" w:hAnsi="宋体"/>
          <w:color w:val="auto"/>
          <w:szCs w:val="32"/>
          <w:highlight w:val="none"/>
        </w:rPr>
        <w:t>“揭榜挂帅”榜单</w:t>
      </w:r>
      <w:r>
        <w:rPr>
          <w:color w:val="auto"/>
          <w:highlight w:val="none"/>
        </w:rPr>
        <w:tab/>
      </w:r>
      <w:r>
        <w:rPr>
          <w:color w:val="auto"/>
          <w:highlight w:val="none"/>
        </w:rPr>
        <w:fldChar w:fldCharType="begin"/>
      </w:r>
      <w:r>
        <w:rPr>
          <w:color w:val="auto"/>
          <w:highlight w:val="none"/>
        </w:rPr>
        <w:instrText xml:space="preserve"> PAGEREF _Toc741 \h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szCs w:val="21"/>
          <w:highlight w:val="none"/>
        </w:rPr>
        <w:fldChar w:fldCharType="end"/>
      </w:r>
    </w:p>
    <w:p>
      <w:pPr>
        <w:pStyle w:val="27"/>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_Toc19900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r>
        <w:rPr>
          <w:color w:val="auto"/>
          <w:highlight w:val="none"/>
        </w:rPr>
        <w:tab/>
      </w:r>
      <w:r>
        <w:rPr>
          <w:color w:val="auto"/>
          <w:highlight w:val="none"/>
        </w:rPr>
        <w:fldChar w:fldCharType="begin"/>
      </w:r>
      <w:r>
        <w:rPr>
          <w:color w:val="auto"/>
          <w:highlight w:val="none"/>
        </w:rPr>
        <w:instrText xml:space="preserve"> PAGEREF _Toc19900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21"/>
          <w:highlight w:val="none"/>
        </w:rPr>
        <w:fldChar w:fldCharType="end"/>
      </w:r>
    </w:p>
    <w:p>
      <w:pPr>
        <w:pStyle w:val="27"/>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_Toc32657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r>
        <w:rPr>
          <w:color w:val="auto"/>
          <w:highlight w:val="none"/>
        </w:rPr>
        <w:tab/>
      </w:r>
      <w:r>
        <w:rPr>
          <w:color w:val="auto"/>
          <w:highlight w:val="none"/>
        </w:rPr>
        <w:fldChar w:fldCharType="begin"/>
      </w:r>
      <w:r>
        <w:rPr>
          <w:color w:val="auto"/>
          <w:highlight w:val="none"/>
        </w:rPr>
        <w:instrText xml:space="preserve"> PAGEREF _Toc32657 \h </w:instrText>
      </w:r>
      <w:r>
        <w:rPr>
          <w:color w:val="auto"/>
          <w:highlight w:val="none"/>
        </w:rPr>
        <w:fldChar w:fldCharType="separate"/>
      </w:r>
      <w:r>
        <w:rPr>
          <w:color w:val="auto"/>
          <w:highlight w:val="none"/>
        </w:rPr>
        <w:t>25</w:t>
      </w:r>
      <w:r>
        <w:rPr>
          <w:color w:val="auto"/>
          <w:highlight w:val="none"/>
        </w:rPr>
        <w:fldChar w:fldCharType="end"/>
      </w:r>
      <w:r>
        <w:rPr>
          <w:rFonts w:ascii="宋体" w:hAnsi="宋体"/>
          <w:color w:val="auto"/>
          <w:szCs w:val="21"/>
          <w:highlight w:val="none"/>
        </w:rPr>
        <w:fldChar w:fldCharType="end"/>
      </w:r>
    </w:p>
    <w:p>
      <w:pPr>
        <w:pStyle w:val="27"/>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color w:val="auto"/>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HYPERLINK \l _Toc6629 </w:instrText>
      </w:r>
      <w:r>
        <w:rPr>
          <w:rFonts w:ascii="宋体" w:hAnsi="宋体"/>
          <w:color w:val="auto"/>
          <w:szCs w:val="21"/>
          <w:highlight w:val="none"/>
        </w:rPr>
        <w:fldChar w:fldCharType="separate"/>
      </w:r>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_Toc6629 \h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szCs w:val="21"/>
          <w:highlight w:val="none"/>
        </w:rPr>
        <w:fldChar w:fldCharType="end"/>
      </w:r>
    </w:p>
    <w:p>
      <w:pPr>
        <w:pStyle w:val="32"/>
        <w:tabs>
          <w:tab w:val="right" w:leader="dot" w:pos="9404"/>
        </w:tabs>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pPr>
        <w:pStyle w:val="2"/>
        <w:spacing w:line="240" w:lineRule="auto"/>
        <w:jc w:val="center"/>
        <w:rPr>
          <w:rFonts w:hint="eastAsia" w:ascii="宋体" w:hAnsi="宋体"/>
          <w:color w:val="auto"/>
          <w:sz w:val="32"/>
          <w:szCs w:val="32"/>
          <w:highlight w:val="none"/>
        </w:rPr>
      </w:pPr>
      <w:bookmarkStart w:id="5" w:name="_Toc10093"/>
      <w:bookmarkStart w:id="6" w:name="_Toc741"/>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rFonts w:hint="eastAsia" w:ascii="宋体" w:hAnsi="宋体"/>
          <w:b/>
          <w:bCs/>
          <w:color w:val="auto"/>
          <w:sz w:val="30"/>
          <w:szCs w:val="30"/>
          <w:highlight w:val="none"/>
        </w:rPr>
      </w:pPr>
      <w:r>
        <w:rPr>
          <w:rFonts w:hint="eastAsia" w:ascii="宋体" w:hAnsi="宋体"/>
          <w:b/>
          <w:bCs/>
          <w:color w:val="auto"/>
          <w:sz w:val="30"/>
          <w:szCs w:val="30"/>
          <w:highlight w:val="none"/>
        </w:rPr>
        <w:t>河北高速公路集团有限公司张承张家口分公司“高寒地区公路隧道水消防电伴热系统智能降耗和自动巡检技术应用研究”科技创新项目</w:t>
      </w:r>
    </w:p>
    <w:p>
      <w:pPr>
        <w:jc w:val="center"/>
        <w:rPr>
          <w:color w:val="auto"/>
          <w:sz w:val="30"/>
          <w:szCs w:val="30"/>
          <w:highlight w:val="none"/>
        </w:rPr>
      </w:pPr>
      <w:r>
        <w:rPr>
          <w:rFonts w:hint="eastAsia" w:ascii="宋体" w:hAnsi="宋体"/>
          <w:b/>
          <w:bCs/>
          <w:color w:val="auto"/>
          <w:sz w:val="30"/>
          <w:szCs w:val="30"/>
          <w:highlight w:val="none"/>
        </w:rPr>
        <w:t>“揭榜挂帅”榜单</w:t>
      </w:r>
    </w:p>
    <w:bookmarkEnd w:id="2"/>
    <w:bookmarkEnd w:id="3"/>
    <w:bookmarkEnd w:id="4"/>
    <w:p>
      <w:pPr>
        <w:pStyle w:val="3"/>
        <w:spacing w:before="0" w:after="0" w:line="360" w:lineRule="auto"/>
        <w:rPr>
          <w:rFonts w:ascii="宋体" w:hAnsi="宋体" w:eastAsia="宋体"/>
          <w:color w:val="auto"/>
          <w:sz w:val="24"/>
          <w:szCs w:val="24"/>
          <w:highlight w:val="none"/>
        </w:rPr>
      </w:pPr>
      <w:bookmarkStart w:id="7" w:name="_Toc26676"/>
      <w:bookmarkStart w:id="8" w:name="_Toc21281"/>
      <w:bookmarkStart w:id="9" w:name="_Toc17762"/>
      <w:r>
        <w:rPr>
          <w:rFonts w:hint="eastAsia" w:ascii="宋体" w:hAnsi="宋体" w:eastAsia="宋体"/>
          <w:color w:val="auto"/>
          <w:sz w:val="24"/>
          <w:szCs w:val="24"/>
          <w:highlight w:val="none"/>
        </w:rPr>
        <w:t>一、项目基本情况</w:t>
      </w:r>
      <w:bookmarkEnd w:id="7"/>
    </w:p>
    <w:bookmarkEnd w:id="8"/>
    <w:bookmarkEnd w:id="9"/>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在现有张承高速张家口段桦皮岭隧道水消防电伴热控制系统的基础上，通过人工智能技术、自动控制技术、电力电子技术以及智能仪表数据采集技术，实现隧道水消防电伴热系统温度的最优化动态精准调控，实现隧道水消防电伴热系统的节能降耗；同时，本项目研究公路隧道水消防电伴热自动巡检系统，通过智能仪表和工业互联网技术实现隧道水消防电伴热系统的远程监测与控制，以提高隧道维护工作效率。本项目的研究成果进行推广应用，可有效实现降本增效，降低隧道运营能源消耗，助力实现集团公司降低能耗的目标，降低隧道运营风险，具有十分重大的社会效益和经济效益。</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1.2 项目研究的主要目的</w:t>
      </w:r>
    </w:p>
    <w:p>
      <w:pPr>
        <w:pStyle w:val="16"/>
        <w:spacing w:after="0" w:line="360" w:lineRule="auto"/>
        <w:ind w:firstLine="468" w:firstLineChars="195"/>
        <w:rPr>
          <w:rFonts w:ascii="宋体" w:hAnsi="宋体"/>
          <w:color w:val="auto"/>
          <w:sz w:val="24"/>
          <w:szCs w:val="24"/>
          <w:highlight w:val="none"/>
        </w:rPr>
      </w:pPr>
      <w:r>
        <w:rPr>
          <w:rFonts w:hint="eastAsia" w:ascii="宋体" w:hAnsi="宋体"/>
          <w:color w:val="auto"/>
          <w:sz w:val="24"/>
          <w:szCs w:val="24"/>
          <w:highlight w:val="none"/>
        </w:rPr>
        <w:t>解决张承高速桦皮岭隧道消防管路电伴热用电量大，电伴热运行闭环控制精确化程度低，电伴热耐久性差问题。</w:t>
      </w:r>
    </w:p>
    <w:p>
      <w:pPr>
        <w:tabs>
          <w:tab w:val="left" w:pos="1283"/>
          <w:tab w:val="left" w:pos="1922"/>
        </w:tabs>
        <w:autoSpaceDE w:val="0"/>
        <w:autoSpaceDN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黑体"/>
          <w:b/>
          <w:bCs/>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在现有公路隧道水消防电伴热控制系统的基础上，融入人工智能技术、自动控制技术、电力电子技术以及智能仪表数据采集技术，在时间和空间两个维度实现隧道水消防电伴热系统温度的最优化动态精准调控，在保证隧道水消防系统不结冰、正常运转的前提下，最大程度降低电能消耗。</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（2）研发并示范应用隧道水消防自动巡检系统，通过智能仪表和工业互联网技术实现隧道水消防系统的远程监测与控制，以提高隧道维护工作效率，降低人力成本。</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（3）优化主要设备及电缆线材选型，提升电伴热系统的可靠性和耐久性，降低维修成本。</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1.4 主要技术指标</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公路隧道恒功率电伴热带的数学模型的构建。</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公路隧道水消防电伴热带实时温控。</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公路隧道水消防电伴热加热效率的预测。</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公路隧道水消防电伴热降耗优化策略。</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公路隧道水消防电伴热自动巡检技术。</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公路隧道电伴热关键部件故障检测。</w:t>
      </w:r>
    </w:p>
    <w:p>
      <w:pPr>
        <w:numPr>
          <w:ilvl w:val="0"/>
          <w:numId w:val="1"/>
        </w:num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公路隧道水消防电伴热系统耐久性与可靠性提升技术。</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1.5 主要经济指标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（1）在保证隧道水消防系统不结冰、正常运转的前提下，降低隧道水消防电伴热系统电能消耗10%以上。</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（2）本系统同时实现隧道水消防电伴热系统自动巡检，减少人力投入，节省人工费用、油费及车辆折旧费。</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（3）本系统及时发现、定位电伴热故障，优化电伴热系统主要设备及线缆选型，提高系统可靠性及耐久性，降低隧道电伴热维修成本。</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1.6 设备技术参数</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（1）服务器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芯片组：&gt;=Inter C256</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处理器：&gt;=至强E-2378G</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内存：&gt;=128GB</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硬盘：&gt;=2*8TB</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网卡：&gt;=2个千兆网口</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显卡：默认集显，可支持独显</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光驱：可选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系统：可选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电源：默认300W</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显示器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分辨率：&gt;=2560*1440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刷新率：&gt;=180Hz</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屏幕比例：16:9</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对比度：&gt;=1000:1</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27 寸</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调功器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外控制输入规格： 0-5V、0-10mA、4-20mA；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手动操作分辨率：1/1000 ；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电流显示分辨率：1A（&gt;50A），0.1A（≤50A），有效值；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温度显示分辨率：0.1℃；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软起动、软关断时间： 0-300s 任意设定；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开环移相、开环线性调压、闭环恒流。50/60HZ 自适应；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通信接口：RS485/232； </w:t>
      </w:r>
    </w:p>
    <w:p>
      <w:pPr>
        <w:tabs>
          <w:tab w:val="left" w:pos="1283"/>
          <w:tab w:val="left" w:pos="1922"/>
        </w:tabs>
        <w:autoSpaceDE w:val="0"/>
        <w:autoSpaceDN w:val="0"/>
        <w:spacing w:line="360" w:lineRule="auto"/>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电源电压：85-264V 全球通用。</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熔断器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额定电压：500~1000V</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额定电流：32~1000A</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分断能力：10~50KA</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断路器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电气寿命：10000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机械寿命：20000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分断能力：6kA</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额定电压：230~690VAC</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接触器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线圈：DV24/36、AC110/220/380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辅助触点：NO/NC可选，可增加</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额定电流：6~63A，63~1250A</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环境温度：-5~40℃</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继电器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线圈：DC24V,AC220V</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触点负载：10A</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DC24V电源</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进线：AC220V/AC380V</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输出电流：0~250A，DC24V</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转化效率：≥90%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频率范围：45~65Hz</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工作温度：-20~50℃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工作湿度：-20~90%，无凝露</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电磁兼容性：GB9254</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照明灯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AC220V，15W。</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插座</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AC220V，3孔，带接地。</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柜体</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拼装柜，表面喷塑，颜色：7035</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光电转换器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单模，10/100兆自适应，外接电源AC220V</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温度继电器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电源：DV24V,AC220V/50/60Hz</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使用环境：0~50℃，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湿度：30~85%无凝露，无腐蚀性气体</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精度：±0.5%</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量程：全量程，可自由设定</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输出：继电器输出，4~20mA输出（控制）</w:t>
      </w:r>
    </w:p>
    <w:p>
      <w:pPr>
        <w:numPr>
          <w:ilvl w:val="0"/>
          <w:numId w:val="2"/>
        </w:num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PLC</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PLC硬件指标</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环境温度范围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（设备下部 25 mm 进风距离）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20 °C 到 60 °C 水平安装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 20 °C 到 50 °C 垂直安装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湿度 95%，不结露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机械冲击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g，11 ms 脉冲，3 个轴向上 6 次冲击</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正弦振动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DIN 导轨安装：5-9 Hz 时 3.5 mm，8.4 - 150 Hz 时 1G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面板安装：5-8.4 Hz 时 7.0 mm，8.4 - 150 Hz 时 2G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每个轴 10 次摆动，每分 1 倍频程</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传导干扰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150 kHz 到 80 MHz，10 V RMS，1kHz 时 80% AM</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辐射、无线电频率、电磁场抗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扰度测试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80 到 1000 MHz，10 V/m，1 kHz 时 80% AM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1.4 到 2.0 GHz，3 V/m，1 kHz 时 80% AM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2.0 到 2.7 GHz，1 V/m，1 kHz 时 80% AM </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PLC软件：</w:t>
      </w:r>
    </w:p>
    <w:p>
      <w:pPr>
        <w:tabs>
          <w:tab w:val="left" w:pos="1283"/>
          <w:tab w:val="left" w:pos="1922"/>
        </w:tabs>
        <w:autoSpaceDE w:val="0"/>
        <w:autoSpaceDN w:val="0"/>
        <w:spacing w:line="360" w:lineRule="auto"/>
        <w:ind w:left="420" w:leftChars="200"/>
        <w:jc w:val="left"/>
        <w:rPr>
          <w:rFonts w:ascii="宋体" w:hAnsi="宋体" w:cs="黑体"/>
          <w:color w:val="auto"/>
          <w:kern w:val="0"/>
          <w:sz w:val="24"/>
          <w:szCs w:val="24"/>
          <w:highlight w:val="none"/>
        </w:rPr>
      </w:pPr>
      <w:r>
        <w:rPr>
          <w:rFonts w:ascii="宋体" w:hAnsi="宋体" w:cs="黑体"/>
          <w:color w:val="auto"/>
          <w:kern w:val="0"/>
          <w:sz w:val="24"/>
          <w:szCs w:val="24"/>
          <w:highlight w:val="none"/>
        </w:rPr>
        <w:t>内置工作存储50~150KB，负载存储：1~4MB；编程语言：梯形图LAD；指令种类：位逻辑运算，字逻辑运算，数学函数，定时器，计数器等。组件种类：CPU本身内置，8路DI输入或4路高速计数器输入，6路DO输出，2路AI模拟量输入。此外支持扩展。</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1.7 项目研究进度里程碑目标要求</w:t>
      </w:r>
    </w:p>
    <w:p>
      <w:pPr>
        <w:tabs>
          <w:tab w:val="left" w:pos="1283"/>
          <w:tab w:val="left" w:pos="1922"/>
        </w:tabs>
        <w:autoSpaceDE w:val="0"/>
        <w:autoSpaceDN w:val="0"/>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自合同签订之日起1个月内，</w:t>
      </w:r>
      <w:r>
        <w:rPr>
          <w:rFonts w:hint="eastAsia" w:ascii="宋体" w:hAnsi="宋体" w:cs="宋体"/>
          <w:color w:val="auto"/>
          <w:highlight w:val="none"/>
        </w:rPr>
        <w:t>项目</w:t>
      </w:r>
      <w:r>
        <w:rPr>
          <w:rFonts w:hint="eastAsia" w:ascii="宋体" w:hAnsi="宋体" w:cs="宋体"/>
          <w:bCs/>
          <w:color w:val="auto"/>
          <w:sz w:val="24"/>
          <w:highlight w:val="none"/>
        </w:rPr>
        <w:t>需求调研、制定研究方案；</w:t>
      </w:r>
    </w:p>
    <w:p>
      <w:pPr>
        <w:tabs>
          <w:tab w:val="left" w:pos="1283"/>
          <w:tab w:val="left" w:pos="1922"/>
        </w:tabs>
        <w:autoSpaceDE w:val="0"/>
        <w:autoSpaceDN w:val="0"/>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自合同签订之日起2个月内，完成1.4主要技术指标的研究；</w:t>
      </w:r>
    </w:p>
    <w:p>
      <w:pPr>
        <w:tabs>
          <w:tab w:val="left" w:pos="1283"/>
          <w:tab w:val="left" w:pos="1922"/>
        </w:tabs>
        <w:autoSpaceDE w:val="0"/>
        <w:autoSpaceDN w:val="0"/>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自合同签订之日起4个月内，根据理论研究成果对张承高速公路试点隧道水消防管道电伴热系统进行节能改造；</w:t>
      </w:r>
    </w:p>
    <w:p>
      <w:pPr>
        <w:tabs>
          <w:tab w:val="left" w:pos="1283"/>
          <w:tab w:val="left" w:pos="1922"/>
        </w:tabs>
        <w:autoSpaceDE w:val="0"/>
        <w:autoSpaceDN w:val="0"/>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自合同签订之日起16个月内，根据张承高速公路隧道试点应用情况，对比分析节能改造效果，总结推广应用经验</w:t>
      </w:r>
    </w:p>
    <w:p>
      <w:pPr>
        <w:tabs>
          <w:tab w:val="left" w:pos="1283"/>
          <w:tab w:val="left" w:pos="1922"/>
        </w:tabs>
        <w:autoSpaceDE w:val="0"/>
        <w:autoSpaceDN w:val="0"/>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自合同签订之日起19个月内，完成发表论文、撰写结题报告，组织专家评审会，完成项目验收</w:t>
      </w:r>
    </w:p>
    <w:p>
      <w:pPr>
        <w:tabs>
          <w:tab w:val="left" w:pos="1283"/>
          <w:tab w:val="left" w:pos="1922"/>
        </w:tabs>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1.8 项目预算投入</w:t>
      </w:r>
    </w:p>
    <w:p>
      <w:pPr>
        <w:pStyle w:val="16"/>
        <w:spacing w:after="0" w:line="360" w:lineRule="auto"/>
        <w:ind w:firstLine="468" w:firstLineChars="195"/>
        <w:rPr>
          <w:rFonts w:ascii="宋体" w:hAnsi="宋体"/>
          <w:color w:val="auto"/>
          <w:sz w:val="24"/>
          <w:szCs w:val="24"/>
          <w:highlight w:val="none"/>
        </w:rPr>
      </w:pPr>
      <w:r>
        <w:rPr>
          <w:rFonts w:ascii="宋体" w:hAnsi="宋体"/>
          <w:color w:val="auto"/>
          <w:sz w:val="24"/>
          <w:szCs w:val="24"/>
          <w:highlight w:val="none"/>
        </w:rPr>
        <w:t>1356511</w:t>
      </w:r>
      <w:r>
        <w:rPr>
          <w:rFonts w:hint="eastAsia" w:ascii="宋体" w:hAnsi="宋体"/>
          <w:color w:val="auto"/>
          <w:sz w:val="24"/>
          <w:szCs w:val="24"/>
          <w:highlight w:val="none"/>
        </w:rPr>
        <w:t>元，其中：研发费用</w:t>
      </w:r>
      <w:r>
        <w:rPr>
          <w:rFonts w:ascii="宋体" w:hAnsi="宋体"/>
          <w:color w:val="auto"/>
          <w:sz w:val="24"/>
          <w:szCs w:val="24"/>
          <w:highlight w:val="none"/>
        </w:rPr>
        <w:t>60</w:t>
      </w:r>
      <w:r>
        <w:rPr>
          <w:rFonts w:hint="eastAsia" w:ascii="宋体" w:hAnsi="宋体"/>
          <w:color w:val="auto"/>
          <w:sz w:val="24"/>
          <w:szCs w:val="24"/>
          <w:highlight w:val="none"/>
        </w:rPr>
        <w:t>0</w:t>
      </w:r>
      <w:r>
        <w:rPr>
          <w:rFonts w:ascii="宋体" w:hAnsi="宋体"/>
          <w:color w:val="auto"/>
          <w:sz w:val="24"/>
          <w:szCs w:val="24"/>
          <w:highlight w:val="none"/>
        </w:rPr>
        <w:t>000</w:t>
      </w:r>
      <w:r>
        <w:rPr>
          <w:rFonts w:hint="eastAsia" w:ascii="宋体" w:hAnsi="宋体"/>
          <w:color w:val="auto"/>
          <w:sz w:val="24"/>
          <w:szCs w:val="24"/>
          <w:highlight w:val="none"/>
        </w:rPr>
        <w:t>元，施工图设计费用14508元，施工费用742003元。</w:t>
      </w:r>
    </w:p>
    <w:p>
      <w:pPr>
        <w:pStyle w:val="3"/>
        <w:spacing w:before="0" w:after="0" w:line="360" w:lineRule="auto"/>
        <w:rPr>
          <w:rFonts w:ascii="宋体" w:hAnsi="宋体" w:eastAsia="宋体"/>
          <w:color w:val="auto"/>
          <w:sz w:val="24"/>
          <w:szCs w:val="24"/>
          <w:highlight w:val="none"/>
        </w:rPr>
      </w:pPr>
      <w:bookmarkStart w:id="10" w:name="_Toc367"/>
      <w:r>
        <w:rPr>
          <w:rFonts w:hint="eastAsia" w:ascii="宋体" w:hAnsi="宋体" w:eastAsia="宋体"/>
          <w:color w:val="auto"/>
          <w:sz w:val="24"/>
          <w:szCs w:val="24"/>
          <w:highlight w:val="none"/>
        </w:rPr>
        <w:t>二、揭榜基本要求</w:t>
      </w:r>
      <w:bookmarkEnd w:id="10"/>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bookmarkStart w:id="11" w:name="_Toc152042290"/>
      <w:bookmarkStart w:id="12" w:name="_Toc152045514"/>
      <w:bookmarkStart w:id="13" w:name="_Toc144974482"/>
      <w:bookmarkStart w:id="14" w:name="_Toc179632530"/>
      <w:r>
        <w:rPr>
          <w:rFonts w:hint="eastAsia" w:ascii="宋体" w:hAnsi="宋体" w:cs="黑体"/>
          <w:color w:val="auto"/>
          <w:kern w:val="0"/>
          <w:sz w:val="24"/>
          <w:szCs w:val="24"/>
          <w:highlight w:val="none"/>
        </w:rPr>
        <w:t>2.1 揭榜人要求</w:t>
      </w:r>
      <w:bookmarkEnd w:id="11"/>
      <w:bookmarkEnd w:id="12"/>
      <w:bookmarkEnd w:id="13"/>
      <w:bookmarkEnd w:id="14"/>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2.1.1揭榜团队须为在中华人民共和国境内注册、具有独立法人资格的企事业单位。与技术需求提出企业（发榜方）无关联关系。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2.1.2揭榜团队应具有相应的课题研究能力和足够技术支持，具备完成项目任务所必要的试验场地、设备、资金条件。近5年（2019年5月1日至发榜截止时间，以通过成果验收或鉴定时间或登记时间为准）完成过机电工程方向不低于100万元的科研项目。</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2.1.3揭榜团队及项目负责人具备良好的社会信用，近3年无不良信用记录或重大违法行为。保证所提供申报项目信息的真实性，严格遵循科研诚信等有关规定，并对信息虚假导致的后果承担责任。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2.1.4揭榜团队及项目负责人需承诺揭榜后能够在指定期限内完成相应任务，负责项目实施的总体设计、任务分解、方案细化和统筹协调，配合项目承担单位做好过程管理、经费使用和考核验收工作；承诺揭榜攻关期间积极响应技术需求方，提出攻克关键核心技术的可行性方案，掌握自主知识产权；具有相对稳定的技术支撑队伍与相关经验，能协助需求方完成技术应用落地实施。</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2.1.5揭榜团队负责人应为项目承担单位在职人员，揭榜攻关期间原则上不得更换和调离。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2.1.6揭榜团队需承诺，为满足科研需要对既有高速公路资产进行新建、改建、扩建的，需委托具有资质的单位实施。实施前按需办理相关手续；实施过程及结果符合国家现行法律、法规、规范要求；需求方有权按需进行全过程监督。</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olor w:val="auto"/>
          <w:sz w:val="24"/>
          <w:szCs w:val="24"/>
          <w:highlight w:val="none"/>
        </w:rPr>
        <w:t>2.1.7</w:t>
      </w:r>
      <w:r>
        <w:rPr>
          <w:rFonts w:hint="eastAsia" w:ascii="宋体" w:hAnsi="宋体" w:cs="黑体"/>
          <w:color w:val="auto"/>
          <w:kern w:val="0"/>
          <w:sz w:val="24"/>
          <w:szCs w:val="24"/>
          <w:highlight w:val="none"/>
        </w:rPr>
        <w:t>本次“揭榜挂帅”</w:t>
      </w:r>
      <w:r>
        <w:rPr>
          <w:rFonts w:hint="eastAsia" w:ascii="宋体" w:hAnsi="宋体" w:cs="黑体"/>
          <w:color w:val="auto"/>
          <w:kern w:val="0"/>
          <w:sz w:val="24"/>
          <w:szCs w:val="24"/>
          <w:highlight w:val="none"/>
          <w:u w:val="single"/>
        </w:rPr>
        <w:t xml:space="preserve"> 接受 </w:t>
      </w:r>
      <w:r>
        <w:rPr>
          <w:rFonts w:hint="eastAsia" w:ascii="宋体" w:hAnsi="宋体" w:cs="黑体"/>
          <w:color w:val="auto"/>
          <w:kern w:val="0"/>
          <w:sz w:val="24"/>
          <w:szCs w:val="24"/>
          <w:highlight w:val="none"/>
        </w:rPr>
        <w:t>联合体揭榜。鼓励企业、金融机构、科技服务机构、高校、科研院所及新型研发机构等以联合体方式申报，牵头单位为1家，联合体成员不超过3家。</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联合申报时的要求：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（1）项目中研究内容需两家或两家以上单位联合完成的，牵头单位须符合本项目揭榜人要求。</w:t>
      </w:r>
    </w:p>
    <w:p>
      <w:pPr>
        <w:autoSpaceDE w:val="0"/>
        <w:autoSpaceDN w:val="0"/>
        <w:spacing w:line="360" w:lineRule="auto"/>
        <w:ind w:firstLine="480"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（2）项目中如有与研发内容密不可分、定制设备材料的提供、土建安装施工、设计勘察等内容，联合单位须具备开展相关业务的国家或行业规定的相关资质。</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3</w:t>
      </w: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响应文件中</w:t>
      </w:r>
      <w:r>
        <w:rPr>
          <w:rFonts w:hint="eastAsia" w:ascii="宋体" w:hAnsi="宋体" w:cs="黑体"/>
          <w:color w:val="auto"/>
          <w:kern w:val="0"/>
          <w:sz w:val="24"/>
          <w:szCs w:val="24"/>
          <w:highlight w:val="none"/>
        </w:rPr>
        <w:t>须提交联合体</w:t>
      </w:r>
      <w:r>
        <w:rPr>
          <w:rFonts w:hint="eastAsia" w:ascii="宋体" w:hAnsi="宋体" w:cs="黑体"/>
          <w:color w:val="auto"/>
          <w:kern w:val="0"/>
          <w:sz w:val="24"/>
          <w:szCs w:val="24"/>
          <w:highlight w:val="none"/>
          <w:lang w:val="en-US" w:eastAsia="zh-CN"/>
        </w:rPr>
        <w:t>协议书</w:t>
      </w: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协议</w:t>
      </w:r>
      <w:r>
        <w:rPr>
          <w:rFonts w:hint="eastAsia" w:ascii="宋体" w:hAnsi="宋体" w:cs="黑体"/>
          <w:color w:val="auto"/>
          <w:kern w:val="0"/>
          <w:sz w:val="24"/>
          <w:szCs w:val="24"/>
          <w:highlight w:val="none"/>
        </w:rPr>
        <w:t>中要明确牵头单位和成员单位及其分工和权利义务。牵头单位在项目中负责项目的整体组织实施，并对其他联合单位完成内容负连带责任，其他成员单位按照分工承担相应责任。</w:t>
      </w:r>
    </w:p>
    <w:p>
      <w:pPr>
        <w:autoSpaceDE w:val="0"/>
        <w:autoSpaceDN w:val="0"/>
        <w:spacing w:line="360" w:lineRule="auto"/>
        <w:ind w:firstLine="480" w:firstLineChars="200"/>
        <w:jc w:val="left"/>
        <w:rPr>
          <w:rFonts w:hint="eastAsia" w:ascii="宋体" w:hAnsi="宋体" w:cs="黑体"/>
          <w:color w:val="auto"/>
          <w:kern w:val="0"/>
          <w:sz w:val="24"/>
          <w:szCs w:val="24"/>
          <w:highlight w:val="none"/>
        </w:rPr>
      </w:pPr>
    </w:p>
    <w:p>
      <w:pPr>
        <w:pStyle w:val="16"/>
        <w:spacing w:after="0" w:line="360" w:lineRule="auto"/>
        <w:ind w:firstLine="480" w:firstLineChars="200"/>
        <w:rPr>
          <w:rFonts w:hint="default" w:ascii="宋体" w:hAnsi="宋体" w:eastAsia="宋体" w:cs="仿宋_GB2312"/>
          <w:bCs/>
          <w:color w:val="auto"/>
          <w:kern w:val="0"/>
          <w:sz w:val="24"/>
          <w:szCs w:val="24"/>
          <w:highlight w:val="none"/>
          <w:lang w:val="en-US" w:eastAsia="zh-CN"/>
        </w:rPr>
      </w:pPr>
    </w:p>
    <w:p>
      <w:pPr>
        <w:pStyle w:val="16"/>
        <w:spacing w:after="0" w:line="360" w:lineRule="auto"/>
        <w:ind w:firstLine="420" w:firstLineChars="200"/>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eastAsia="宋体"/>
          <w:color w:val="auto"/>
          <w:highlight w:val="none"/>
          <w:lang w:val="en-US" w:eastAsia="zh-CN"/>
        </w:rPr>
      </w:pPr>
      <w:bookmarkStart w:id="15" w:name="_Toc24590"/>
      <w:bookmarkStart w:id="16" w:name="_Toc19900"/>
      <w:bookmarkStart w:id="17" w:name="_Toc23082"/>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5"/>
      <w:bookmarkEnd w:id="16"/>
    </w:p>
    <w:tbl>
      <w:tblPr>
        <w:tblStyle w:val="40"/>
        <w:tblW w:w="9872" w:type="dxa"/>
        <w:jc w:val="center"/>
        <w:tblLayout w:type="fixed"/>
        <w:tblCellMar>
          <w:top w:w="0" w:type="dxa"/>
          <w:left w:w="108" w:type="dxa"/>
          <w:bottom w:w="0" w:type="dxa"/>
          <w:right w:w="108" w:type="dxa"/>
        </w:tblCellMar>
      </w:tblPr>
      <w:tblGrid>
        <w:gridCol w:w="1086"/>
        <w:gridCol w:w="3078"/>
        <w:gridCol w:w="5708"/>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用户单位</w:t>
            </w:r>
            <w:r>
              <w:rPr>
                <w:rFonts w:hint="eastAsia" w:ascii="宋体" w:hAnsi="宋体"/>
                <w:color w:val="auto"/>
                <w:sz w:val="21"/>
                <w:szCs w:val="21"/>
                <w:highlight w:val="none"/>
              </w:rPr>
              <w:t xml:space="preserve">：河北高速公路集团有限公司张承张家口分公司         </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地    址：河北省张家口经济开发区东山产业集聚区腾飞路7号</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eastAsia="宋体" w:cs="宋体"/>
                <w:color w:val="auto"/>
                <w:kern w:val="0"/>
                <w:szCs w:val="21"/>
                <w:highlight w:val="none"/>
                <w:lang w:val="en-US" w:eastAsia="zh-CN"/>
              </w:rPr>
              <w:t>王学东</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电    话：</w:t>
            </w:r>
            <w:r>
              <w:rPr>
                <w:rFonts w:hint="default" w:ascii="宋体" w:hAnsi="宋体" w:eastAsia="宋体" w:cs="宋体"/>
                <w:color w:val="auto"/>
                <w:kern w:val="0"/>
                <w:szCs w:val="21"/>
                <w:highlight w:val="none"/>
                <w:lang w:val="en-US" w:eastAsia="zh-CN"/>
              </w:rPr>
              <w:t>0313-5899882</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highlight w:val="none"/>
              </w:rPr>
              <w:t>河北高速公路集团有限公司张承张家口分公司</w:t>
            </w:r>
            <w:bookmarkStart w:id="90" w:name="_GoBack"/>
            <w:bookmarkEnd w:id="90"/>
            <w:r>
              <w:rPr>
                <w:rFonts w:hint="eastAsia" w:ascii="黑体" w:hAnsi="黑体" w:eastAsia="黑体" w:cs="黑体"/>
                <w:b/>
                <w:bCs/>
                <w:color w:val="auto"/>
                <w:highlight w:val="none"/>
              </w:rPr>
              <w:t>“高寒地区公路隧道水消防电伴热系统智能降耗和自动巡检技术应用研究”科技创新项目“揭榜挂帅”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b/>
                <w:bCs/>
                <w:color w:val="auto"/>
                <w:highlight w:val="none"/>
              </w:rPr>
            </w:pPr>
            <w:r>
              <w:rPr>
                <w:rFonts w:hint="eastAsia"/>
                <w:b/>
                <w:bCs/>
                <w:color w:val="auto"/>
                <w:highlight w:val="none"/>
              </w:rPr>
              <w:t>本次“揭榜挂帅” 接受 联合体揭榜。鼓励企业、金融机构、科技服务机构、高校、科研院所及新型研发机构等以联合体方式申报，牵头单位为1家，联合体成员不超过3家。</w:t>
            </w:r>
          </w:p>
          <w:p>
            <w:pPr>
              <w:topLinePunct/>
              <w:spacing w:line="400" w:lineRule="exact"/>
              <w:rPr>
                <w:rFonts w:hint="eastAsia"/>
                <w:b/>
                <w:bCs/>
                <w:color w:val="auto"/>
                <w:highlight w:val="none"/>
              </w:rPr>
            </w:pPr>
            <w:r>
              <w:rPr>
                <w:rFonts w:hint="eastAsia"/>
                <w:b/>
                <w:bCs/>
                <w:color w:val="auto"/>
                <w:highlight w:val="none"/>
              </w:rPr>
              <w:t>联合申报时的要求：</w:t>
            </w:r>
          </w:p>
          <w:p>
            <w:pPr>
              <w:topLinePunct/>
              <w:spacing w:line="400" w:lineRule="exact"/>
              <w:rPr>
                <w:rFonts w:hint="eastAsia"/>
                <w:b/>
                <w:bCs/>
                <w:color w:val="auto"/>
                <w:highlight w:val="none"/>
              </w:rPr>
            </w:pPr>
            <w:r>
              <w:rPr>
                <w:rFonts w:hint="eastAsia"/>
                <w:b/>
                <w:bCs/>
                <w:color w:val="auto"/>
                <w:highlight w:val="none"/>
              </w:rPr>
              <w:t>（1）项目中研究内容需两家或两家以上单位联合完成的，牵头单位须符合本项目揭榜人要求。</w:t>
            </w:r>
          </w:p>
          <w:p>
            <w:pPr>
              <w:topLinePunct/>
              <w:spacing w:line="400" w:lineRule="exact"/>
              <w:rPr>
                <w:rFonts w:hint="eastAsia"/>
                <w:b/>
                <w:bCs/>
                <w:color w:val="auto"/>
                <w:highlight w:val="none"/>
              </w:rPr>
            </w:pPr>
            <w:r>
              <w:rPr>
                <w:rFonts w:hint="eastAsia"/>
                <w:b/>
                <w:bCs/>
                <w:color w:val="auto"/>
                <w:highlight w:val="none"/>
              </w:rPr>
              <w:t>（2）项目中如有与研发内容密不可分、定制设备材料的提供、土建安装施工、设计勘察等内容，联合单位须具备开展相关业务的国家或行业规定的相关资质。</w:t>
            </w:r>
          </w:p>
          <w:p>
            <w:pPr>
              <w:topLinePunct/>
              <w:spacing w:line="400" w:lineRule="exact"/>
              <w:rPr>
                <w:rFonts w:cs="黑体" w:asciiTheme="minorEastAsia" w:hAnsiTheme="minorEastAsia" w:eastAsiaTheme="minorEastAsia"/>
                <w:bCs/>
                <w:color w:val="auto"/>
                <w:sz w:val="21"/>
                <w:szCs w:val="21"/>
                <w:highlight w:val="none"/>
              </w:rPr>
            </w:pPr>
            <w:r>
              <w:rPr>
                <w:rFonts w:hint="eastAsia"/>
                <w:b/>
                <w:bCs/>
                <w:color w:val="auto"/>
                <w:highlight w:val="none"/>
              </w:rPr>
              <w:t>（3）响应文件中须提交联合体协议书，协议中要明确牵头单位和成员单位及其分工和权利义务。牵头单位在项目中负责项目的整体组织实施，并对其他联合单位完成内容负连带责任，其他成员单位按照分工承担相应责任。</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形式：电子邮件</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078"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pPr>
              <w:pStyle w:val="16"/>
              <w:spacing w:after="0" w:line="360" w:lineRule="auto"/>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kern w:val="2"/>
                <w:sz w:val="21"/>
                <w:szCs w:val="21"/>
                <w:highlight w:val="none"/>
                <w:lang w:val="en-US" w:eastAsia="zh-CN" w:bidi="ar-SA"/>
              </w:rPr>
              <w:t>1356511元，其中：研发费用600000元，施工图设计费用14508元，施工费用742003元。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证明资料</w:t>
            </w:r>
            <w:r>
              <w:rPr>
                <w:rFonts w:hint="eastAsia" w:cs="宋体" w:asciiTheme="minorEastAsia" w:hAnsiTheme="minorEastAsia" w:eastAsiaTheme="minorEastAsia"/>
                <w:color w:val="auto"/>
                <w:sz w:val="21"/>
                <w:szCs w:val="21"/>
                <w:highlight w:val="none"/>
              </w:rPr>
              <w:t>要求</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sz w:val="21"/>
                <w:szCs w:val="21"/>
                <w:highlight w:val="none"/>
              </w:rPr>
            </w:pPr>
            <w:bookmarkStart w:id="18" w:name="_Toc300834946"/>
            <w:bookmarkStart w:id="19" w:name="_Toc361508582"/>
            <w:bookmarkStart w:id="20" w:name="_Toc384308207"/>
            <w:bookmarkStart w:id="21" w:name="_Toc1789"/>
            <w:bookmarkStart w:id="22" w:name="_Toc352691470"/>
            <w:bookmarkStart w:id="23" w:name="_Toc369531512"/>
            <w:r>
              <w:rPr>
                <w:rFonts w:hint="eastAsia" w:cs="宋体" w:asciiTheme="minorEastAsia" w:hAnsiTheme="minorEastAsia" w:eastAsiaTheme="minorEastAsia"/>
                <w:sz w:val="21"/>
                <w:szCs w:val="21"/>
                <w:highlight w:val="none"/>
              </w:rPr>
              <w:t>《揭榜响应文件》所附证书证件要求均为原件扫描件，揭榜方须对其所附证件的真实性、有效性、清晰性、完整性负责。</w:t>
            </w:r>
          </w:p>
          <w:p>
            <w:pPr>
              <w:pStyle w:val="15"/>
              <w:numPr>
                <w:ilvl w:val="0"/>
                <w:numId w:val="0"/>
              </w:numPr>
              <w:topLinePunct/>
              <w:spacing w:line="400" w:lineRule="exact"/>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kern w:val="2"/>
                <w:sz w:val="21"/>
                <w:szCs w:val="21"/>
                <w:highlight w:val="none"/>
                <w:lang w:val="en-US" w:eastAsia="zh-CN" w:bidi="ar-SA"/>
              </w:rPr>
              <w:t>（1）</w:t>
            </w:r>
            <w:r>
              <w:rPr>
                <w:rFonts w:hint="eastAsia" w:cs="宋体" w:asciiTheme="minorEastAsia" w:hAnsiTheme="minorEastAsia" w:eastAsiaTheme="minorEastAsia"/>
                <w:sz w:val="21"/>
                <w:szCs w:val="21"/>
                <w:highlight w:val="none"/>
                <w:lang w:val="en-US" w:eastAsia="zh-CN"/>
              </w:rPr>
              <w:t>业绩证明资料（如需）：</w:t>
            </w:r>
            <w:r>
              <w:rPr>
                <w:rFonts w:hint="default" w:cs="宋体" w:asciiTheme="minorEastAsia" w:hAnsiTheme="minorEastAsia" w:eastAsiaTheme="minorEastAsia"/>
                <w:sz w:val="21"/>
                <w:szCs w:val="21"/>
                <w:highlight w:val="none"/>
                <w:lang w:val="en-US" w:eastAsia="zh-CN"/>
              </w:rPr>
              <w:t>须提供承接类似项目的合同（或任务书）、成果验收或鉴定证书或已完成成果登记的证明材料复印件。</w:t>
            </w:r>
          </w:p>
          <w:p>
            <w:pPr>
              <w:spacing w:line="360" w:lineRule="auto"/>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（2）团队人员证件：</w:t>
            </w:r>
            <w:r>
              <w:rPr>
                <w:rFonts w:hint="eastAsia" w:ascii="宋体" w:hAnsi="宋体"/>
                <w:sz w:val="20"/>
                <w:szCs w:val="20"/>
                <w:highlight w:val="none"/>
              </w:rPr>
              <w:t>应附身份证、职称证、学历证，人才类别有效证明（国内外顶尖人才、国家级领军人才、地方级领军人才、地方级优秀人才、其他类别人才）。作为项目负责人或主研人员参与过的类似科技创新项目</w:t>
            </w:r>
            <w:r>
              <w:rPr>
                <w:rFonts w:hint="eastAsia" w:ascii="宋体" w:hAnsi="宋体"/>
                <w:sz w:val="20"/>
                <w:szCs w:val="20"/>
                <w:highlight w:val="none"/>
                <w:lang w:eastAsia="zh-CN"/>
              </w:rPr>
              <w:t>，</w:t>
            </w:r>
            <w:r>
              <w:rPr>
                <w:rFonts w:hint="eastAsia" w:ascii="宋体" w:hAnsi="宋体"/>
                <w:sz w:val="20"/>
                <w:szCs w:val="20"/>
                <w:highlight w:val="none"/>
                <w:lang w:val="en-US" w:eastAsia="zh-CN"/>
              </w:rPr>
              <w:t>须</w:t>
            </w:r>
            <w:r>
              <w:rPr>
                <w:rFonts w:hint="eastAsia" w:ascii="宋体" w:hAnsi="宋体"/>
                <w:sz w:val="20"/>
                <w:szCs w:val="20"/>
                <w:highlight w:val="none"/>
              </w:rPr>
              <w:t>附合同协议书复印件（本响应文件复印件均指彩色扫描输出件，下同）、项目鉴定证书复印件、项目获奖证书复印件。</w:t>
            </w:r>
          </w:p>
        </w:tc>
      </w:tr>
      <w:bookmarkEnd w:id="18"/>
      <w:bookmarkEnd w:id="19"/>
      <w:bookmarkEnd w:id="20"/>
      <w:bookmarkEnd w:id="21"/>
      <w:bookmarkEnd w:id="22"/>
      <w:bookmarkEnd w:id="23"/>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078"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评榜委员会由7人组成，其中用户单位2人，外部专家由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是否授权评审委员会确定</w:t>
            </w:r>
          </w:p>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8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包括张承张家口分公司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rPr>
              <w:t>所有。</w:t>
            </w:r>
          </w:p>
        </w:tc>
      </w:tr>
    </w:tbl>
    <w:p>
      <w:pPr>
        <w:spacing w:line="400" w:lineRule="exact"/>
        <w:rPr>
          <w:rFonts w:ascii="宋体" w:hAnsi="宋体"/>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bookmarkStart w:id="24" w:name="_Toc32657"/>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17"/>
      <w:bookmarkEnd w:id="24"/>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5" w:name="_Toc166487465"/>
      <w:r>
        <w:rPr>
          <w:rFonts w:hint="eastAsia" w:ascii="宋体" w:hAnsi="宋体" w:cs="黑体"/>
          <w:b/>
          <w:bCs/>
          <w:color w:val="auto"/>
          <w:kern w:val="0"/>
          <w:sz w:val="24"/>
          <w:szCs w:val="24"/>
          <w:highlight w:val="none"/>
        </w:rPr>
        <w:t>1. 评榜方法</w:t>
      </w:r>
      <w:bookmarkEnd w:id="25"/>
    </w:p>
    <w:p>
      <w:pPr>
        <w:autoSpaceDE w:val="0"/>
        <w:autoSpaceDN w:val="0"/>
        <w:spacing w:line="360" w:lineRule="auto"/>
        <w:ind w:firstLine="480" w:firstLineChars="200"/>
        <w:jc w:val="left"/>
        <w:rPr>
          <w:rFonts w:hint="eastAsia" w:ascii="宋体" w:hAnsi="宋体" w:cs="仿宋"/>
          <w:bCs/>
          <w:color w:val="auto"/>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bookmarkStart w:id="26" w:name="_Toc166487466"/>
      <w:bookmarkStart w:id="27" w:name="_Toc179632619"/>
      <w:bookmarkStart w:id="28" w:name="_Toc152042378"/>
      <w:bookmarkStart w:id="29" w:name="_Toc152045601"/>
      <w:bookmarkStart w:id="30" w:name="_Toc144974568"/>
      <w:r>
        <w:rPr>
          <w:rFonts w:hint="eastAsia" w:ascii="宋体" w:hAnsi="宋体" w:cs="仿宋"/>
          <w:b/>
          <w:bCs/>
          <w:color w:val="auto"/>
          <w:kern w:val="0"/>
          <w:sz w:val="24"/>
          <w:szCs w:val="24"/>
          <w:highlight w:val="none"/>
        </w:rPr>
        <w:t>2.2  形式评审与响应性评审标准</w:t>
      </w:r>
      <w:bookmarkEnd w:id="26"/>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7"/>
      <w:bookmarkEnd w:id="28"/>
      <w:bookmarkEnd w:id="29"/>
      <w:bookmarkEnd w:id="30"/>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31" w:name="_Toc144974569"/>
      <w:bookmarkStart w:id="32" w:name="_Toc179632620"/>
      <w:bookmarkStart w:id="33" w:name="_Toc152042379"/>
      <w:bookmarkStart w:id="34" w:name="_Toc152045602"/>
      <w:r>
        <w:rPr>
          <w:rFonts w:hint="eastAsia" w:ascii="宋体" w:hAnsi="宋体" w:cs="黑体"/>
          <w:b/>
          <w:bCs/>
          <w:color w:val="auto"/>
          <w:kern w:val="0"/>
          <w:sz w:val="24"/>
          <w:szCs w:val="24"/>
          <w:highlight w:val="none"/>
        </w:rPr>
        <w:t>3.1 初步评审标准</w:t>
      </w:r>
      <w:bookmarkEnd w:id="31"/>
      <w:bookmarkEnd w:id="32"/>
      <w:bookmarkEnd w:id="33"/>
      <w:bookmarkEnd w:id="34"/>
    </w:p>
    <w:tbl>
      <w:tblPr>
        <w:tblStyle w:val="116"/>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hint="eastAsia" w:ascii="宋体" w:hAnsi="宋体" w:eastAsia="宋体" w:cs="仿宋"/>
          <w:color w:val="auto"/>
          <w:kern w:val="0"/>
          <w:sz w:val="24"/>
          <w:szCs w:val="24"/>
          <w:highlight w:val="none"/>
          <w:lang w:eastAsia="zh-CN"/>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r>
        <w:rPr>
          <w:rFonts w:hint="eastAsia" w:ascii="宋体" w:hAnsi="宋体" w:cs="仿宋"/>
          <w:color w:val="auto"/>
          <w:kern w:val="0"/>
          <w:sz w:val="24"/>
          <w:szCs w:val="24"/>
          <w:highlight w:val="none"/>
          <w:lang w:eastAsia="zh-CN"/>
        </w:rPr>
        <w:t>。</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7"/>
        <w:rPr>
          <w:color w:val="auto"/>
          <w:highlight w:val="none"/>
        </w:rPr>
      </w:pPr>
    </w:p>
    <w:p>
      <w:pPr>
        <w:rPr>
          <w:color w:val="auto"/>
          <w:highlight w:val="none"/>
        </w:rPr>
      </w:pPr>
      <w:r>
        <w:rPr>
          <w:color w:val="auto"/>
          <w:highlight w:val="none"/>
        </w:rPr>
        <w:br w:type="column"/>
      </w:r>
    </w:p>
    <w:p>
      <w:pPr>
        <w:rPr>
          <w:color w:val="auto"/>
          <w:highlight w:val="none"/>
        </w:rPr>
      </w:pPr>
    </w:p>
    <w:tbl>
      <w:tblPr>
        <w:tblStyle w:val="116"/>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pStyle w:val="2"/>
        <w:jc w:val="center"/>
        <w:rPr>
          <w:rFonts w:ascii="宋体" w:hAnsi="宋体" w:cs="仿宋"/>
          <w:bCs/>
          <w:color w:val="auto"/>
          <w:sz w:val="28"/>
          <w:szCs w:val="28"/>
          <w:highlight w:val="none"/>
        </w:rPr>
      </w:pPr>
      <w:bookmarkStart w:id="35" w:name="_Toc247085853"/>
      <w:bookmarkStart w:id="36" w:name="_Toc179632787"/>
      <w:bookmarkStart w:id="37" w:name="_Toc246996338"/>
      <w:bookmarkStart w:id="38" w:name="_Toc246997081"/>
      <w:bookmarkStart w:id="39" w:name="_Toc152042549"/>
      <w:bookmarkStart w:id="40" w:name="_Toc152045610"/>
      <w:bookmarkStart w:id="41" w:name="_Toc184635122"/>
      <w:bookmarkStart w:id="42" w:name="_Toc300835199"/>
      <w:bookmarkStart w:id="43" w:name="_Toc144974829"/>
      <w:bookmarkStart w:id="44" w:name="_Toc247514197"/>
      <w:bookmarkStart w:id="45" w:name="_Toc247527798"/>
      <w:bookmarkStart w:id="46" w:name="_Toc152042388"/>
      <w:bookmarkStart w:id="47" w:name="_Toc144974578"/>
    </w:p>
    <w:bookmarkEnd w:id="35"/>
    <w:bookmarkEnd w:id="36"/>
    <w:bookmarkEnd w:id="37"/>
    <w:bookmarkEnd w:id="38"/>
    <w:p>
      <w:pPr>
        <w:pStyle w:val="2"/>
        <w:jc w:val="center"/>
        <w:rPr>
          <w:rFonts w:hint="eastAsia" w:ascii="宋体" w:hAnsi="宋体"/>
          <w:color w:val="auto"/>
          <w:highlight w:val="none"/>
        </w:rPr>
      </w:pPr>
      <w:bookmarkStart w:id="48" w:name="_Toc24484"/>
      <w:bookmarkStart w:id="49" w:name="_Toc6629"/>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bookmarkEnd w:id="48"/>
      <w:bookmarkEnd w:id="49"/>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bookmarkEnd w:id="39"/>
    <w:bookmarkEnd w:id="40"/>
    <w:bookmarkEnd w:id="41"/>
    <w:bookmarkEnd w:id="42"/>
    <w:bookmarkEnd w:id="43"/>
    <w:bookmarkEnd w:id="44"/>
    <w:bookmarkEnd w:id="45"/>
    <w:bookmarkEnd w:id="46"/>
    <w:bookmarkEnd w:id="47"/>
    <w:p>
      <w:pPr>
        <w:pStyle w:val="3"/>
        <w:jc w:val="center"/>
        <w:rPr>
          <w:rFonts w:ascii="宋体" w:hAnsi="宋体" w:eastAsia="宋体"/>
          <w:color w:val="auto"/>
          <w:highlight w:val="none"/>
        </w:rPr>
      </w:pPr>
      <w:bookmarkStart w:id="50" w:name="_Toc492300719"/>
      <w:bookmarkStart w:id="51" w:name="_Toc2697"/>
      <w:bookmarkStart w:id="52" w:name="_Toc21190"/>
      <w:bookmarkStart w:id="53" w:name="_Toc15717"/>
      <w:r>
        <w:rPr>
          <w:rFonts w:ascii="宋体" w:hAnsi="宋体" w:eastAsia="宋体"/>
          <w:color w:val="auto"/>
          <w:highlight w:val="none"/>
        </w:rPr>
        <w:t>目录</w:t>
      </w:r>
      <w:bookmarkEnd w:id="50"/>
      <w:bookmarkEnd w:id="51"/>
      <w:bookmarkEnd w:id="52"/>
      <w:bookmarkEnd w:id="53"/>
    </w:p>
    <w:p>
      <w:pPr>
        <w:spacing w:line="540" w:lineRule="exact"/>
        <w:rPr>
          <w:rFonts w:ascii="宋体" w:hAnsi="宋体"/>
          <w:color w:val="auto"/>
          <w:highlight w:val="none"/>
        </w:rPr>
      </w:pPr>
    </w:p>
    <w:p>
      <w:pPr>
        <w:numPr>
          <w:ilvl w:val="0"/>
          <w:numId w:val="3"/>
        </w:numPr>
        <w:spacing w:line="720" w:lineRule="auto"/>
        <w:rPr>
          <w:rFonts w:hint="eastAsia" w:ascii="宋体" w:hAnsi="宋体"/>
          <w:color w:val="auto"/>
          <w:sz w:val="24"/>
          <w:szCs w:val="24"/>
          <w:highlight w:val="none"/>
        </w:rPr>
      </w:pPr>
      <w:bookmarkStart w:id="54" w:name="_Toc7039"/>
      <w:bookmarkStart w:id="55" w:name="_Toc352691655"/>
      <w:bookmarkStart w:id="56" w:name="_Toc369531691"/>
      <w:r>
        <w:rPr>
          <w:rFonts w:hint="eastAsia" w:ascii="宋体" w:hAnsi="宋体"/>
          <w:color w:val="auto"/>
          <w:sz w:val="24"/>
          <w:szCs w:val="24"/>
          <w:highlight w:val="none"/>
        </w:rPr>
        <w:t>揭榜响应函</w:t>
      </w:r>
    </w:p>
    <w:p>
      <w:pPr>
        <w:numPr>
          <w:ilvl w:val="0"/>
          <w:numId w:val="3"/>
        </w:numPr>
        <w:spacing w:line="72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报价清单表</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.联合体协议书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4"/>
    <w:bookmarkEnd w:id="55"/>
    <w:bookmarkEnd w:id="56"/>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7" w:name="_Toc22611"/>
      <w:bookmarkStart w:id="58" w:name="_Toc18048"/>
      <w:bookmarkStart w:id="59" w:name="_Toc492300723"/>
    </w:p>
    <w:p>
      <w:pPr>
        <w:pStyle w:val="3"/>
        <w:jc w:val="center"/>
        <w:rPr>
          <w:rFonts w:hint="eastAsia" w:ascii="宋体" w:hAnsi="宋体" w:eastAsia="宋体"/>
          <w:color w:val="auto"/>
          <w:highlight w:val="none"/>
        </w:rPr>
      </w:pPr>
      <w:bookmarkStart w:id="60" w:name="_Toc10663"/>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bookmarkEnd w:id="60"/>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4"/>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rFonts w:hint="eastAsia" w:ascii="宋体" w:hAnsi="宋体"/>
          <w:b/>
          <w:color w:val="auto"/>
          <w:szCs w:val="21"/>
          <w:highlight w:val="none"/>
        </w:rPr>
      </w:pPr>
      <w:r>
        <w:rPr>
          <w:rFonts w:hint="eastAsia" w:ascii="宋体" w:hAnsi="宋体"/>
          <w:b/>
          <w:color w:val="auto"/>
          <w:szCs w:val="21"/>
          <w:highlight w:val="none"/>
        </w:rPr>
        <w:t>注：以联合体形式揭榜的，本响应函由联合体牵头人出具。</w:t>
      </w:r>
    </w:p>
    <w:p>
      <w:pPr>
        <w:rPr>
          <w:rFonts w:hint="eastAsia" w:ascii="宋体" w:hAnsi="宋体"/>
          <w:b/>
          <w:color w:val="auto"/>
          <w:szCs w:val="21"/>
          <w:highlight w:val="none"/>
        </w:rPr>
      </w:pPr>
      <w:r>
        <w:rPr>
          <w:rFonts w:hint="eastAsia" w:ascii="宋体" w:hAnsi="宋体"/>
          <w:b/>
          <w:color w:val="auto"/>
          <w:szCs w:val="21"/>
          <w:highlight w:val="none"/>
        </w:rPr>
        <w:br w:type="page"/>
      </w:r>
    </w:p>
    <w:p>
      <w:pPr>
        <w:rPr>
          <w:color w:val="auto"/>
          <w:highlight w:val="none"/>
        </w:rPr>
      </w:pPr>
    </w:p>
    <w:p>
      <w:pPr>
        <w:pStyle w:val="3"/>
        <w:jc w:val="center"/>
        <w:rPr>
          <w:rFonts w:hint="eastAsia" w:ascii="宋体" w:hAnsi="宋体" w:eastAsia="宋体"/>
          <w:color w:val="auto"/>
          <w:highlight w:val="none"/>
        </w:rPr>
      </w:pPr>
      <w:bookmarkStart w:id="61" w:name="_Toc21063"/>
      <w:r>
        <w:rPr>
          <w:rFonts w:hint="eastAsia" w:ascii="宋体" w:hAnsi="宋体" w:eastAsia="宋体"/>
          <w:color w:val="auto"/>
          <w:highlight w:val="none"/>
          <w:lang w:val="en-US" w:eastAsia="zh-CN"/>
        </w:rPr>
        <w:t>2</w:t>
      </w:r>
      <w:r>
        <w:rPr>
          <w:rFonts w:hint="eastAsia" w:ascii="宋体" w:hAnsi="宋体" w:eastAsia="宋体"/>
          <w:color w:val="auto"/>
          <w:highlight w:val="none"/>
        </w:rPr>
        <w:t>、报价清单表</w:t>
      </w:r>
      <w:bookmarkEnd w:id="61"/>
      <w:r>
        <w:rPr>
          <w:rFonts w:hint="eastAsia" w:ascii="宋体" w:hAnsi="宋体" w:eastAsia="宋体"/>
          <w:color w:val="auto"/>
          <w:highlight w:val="none"/>
        </w:rPr>
        <w:t xml:space="preserve"> </w:t>
      </w:r>
    </w:p>
    <w:p>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4"/>
        <w:gridCol w:w="4089"/>
        <w:gridCol w:w="3136"/>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高寒地区公路隧道水消防电伴热系统智能降耗和自动巡检技术应用研究项目</w:t>
            </w:r>
            <w:r>
              <w:rPr>
                <w:rFonts w:hint="eastAsia" w:ascii="宋体" w:hAnsi="宋体" w:cs="宋体"/>
                <w:b/>
                <w:bCs/>
                <w:i w:val="0"/>
                <w:iCs w:val="0"/>
                <w:color w:val="auto"/>
                <w:kern w:val="0"/>
                <w:sz w:val="30"/>
                <w:szCs w:val="30"/>
                <w:highlight w:val="none"/>
                <w:u w:val="none"/>
                <w:lang w:val="en-US" w:eastAsia="zh-CN" w:bidi="ar"/>
              </w:rPr>
              <w:t>报价</w:t>
            </w:r>
            <w:r>
              <w:rPr>
                <w:rFonts w:hint="eastAsia" w:ascii="宋体" w:hAnsi="宋体" w:eastAsia="宋体" w:cs="宋体"/>
                <w:b/>
                <w:bCs/>
                <w:i w:val="0"/>
                <w:iCs w:val="0"/>
                <w:color w:val="auto"/>
                <w:kern w:val="0"/>
                <w:sz w:val="30"/>
                <w:szCs w:val="30"/>
                <w:highlight w:val="none"/>
                <w:u w:val="none"/>
                <w:lang w:val="en-US" w:eastAsia="zh-CN" w:bidi="ar"/>
              </w:rPr>
              <w:t>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21"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2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类别</w:t>
            </w:r>
          </w:p>
        </w:tc>
        <w:tc>
          <w:tcPr>
            <w:tcW w:w="163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c>
          <w:tcPr>
            <w:tcW w:w="622"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施工图设计费</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课题研究费</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施工费用</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6" w:type="pct"/>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63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widowControl/>
        <w:jc w:val="left"/>
        <w:rPr>
          <w:rFonts w:hint="eastAsia" w:ascii="宋体" w:hAnsi="宋体" w:cs="宋体"/>
          <w:color w:val="auto"/>
          <w:kern w:val="0"/>
          <w:szCs w:val="21"/>
          <w:highlight w:val="none"/>
          <w:lang w:bidi="ar"/>
        </w:rPr>
      </w:pPr>
    </w:p>
    <w:p>
      <w:pPr>
        <w:rPr>
          <w:rFonts w:hint="eastAsia" w:ascii="宋体" w:hAnsi="宋体" w:eastAsia="宋体"/>
          <w:color w:val="auto"/>
          <w:highlight w:val="none"/>
          <w:lang w:val="en-US" w:eastAsia="zh-CN"/>
        </w:rPr>
      </w:pPr>
      <w:bookmarkStart w:id="62" w:name="_Toc6752"/>
      <w:r>
        <w:rPr>
          <w:rFonts w:hint="eastAsia" w:ascii="宋体" w:hAnsi="宋体" w:eastAsia="宋体"/>
          <w:color w:val="auto"/>
          <w:highlight w:val="none"/>
          <w:lang w:val="en-US" w:eastAsia="zh-CN"/>
        </w:rPr>
        <w:br w:type="column"/>
      </w:r>
    </w:p>
    <w:tbl>
      <w:tblPr>
        <w:tblStyle w:val="40"/>
        <w:tblW w:w="8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329"/>
        <w:gridCol w:w="4879"/>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96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高寒地区公路隧道水消防电伴热系统智能降耗和自动巡检技术应用研究项目清单-施工图设计费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2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名称</w:t>
            </w:r>
          </w:p>
        </w:tc>
        <w:tc>
          <w:tcPr>
            <w:tcW w:w="487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计算过程</w:t>
            </w:r>
          </w:p>
        </w:tc>
        <w:tc>
          <w:tcPr>
            <w:tcW w:w="206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报价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设计费</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06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tbl>
      <w:tblPr>
        <w:tblStyle w:val="4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5"/>
        <w:gridCol w:w="6090"/>
        <w:gridCol w:w="111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0" w:type="auto"/>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高寒地区公路隧道水消防电伴热系统智能降耗和自动巡检技术应用研究项目清单-课题研究费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   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购置设备费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设备耗材费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设备改造与租赁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测试化验加工费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燃料动力费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国际合作与交流费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出版/信息传播/知识产权事务/印刷费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tbl>
      <w:tblPr>
        <w:tblStyle w:val="40"/>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1979"/>
        <w:gridCol w:w="832"/>
        <w:gridCol w:w="1744"/>
        <w:gridCol w:w="1762"/>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22"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高寒地区公路隧道水消防电伴热系统智能降耗和自动巡检技术应用研究项目清单-施工费用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第一部分 设备购置费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上位控制系统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自动巡检系统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温控柜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PLC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DC24V电源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柜内加热器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光电转换器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辅料、人工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中控PLC柜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PLC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DC24V电源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柜内加热器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光电转换器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辅料、人工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第二部分 安装调试费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电伴热智能化改造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第三部分、其他费用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总计（第一、二、三部分合计）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p>
      <w:pPr>
        <w:pStyle w:val="3"/>
        <w:jc w:val="center"/>
        <w:rPr>
          <w:rFonts w:ascii="宋体" w:hAnsi="宋体" w:eastAsia="宋体"/>
          <w:color w:val="auto"/>
          <w:highlight w:val="none"/>
        </w:rPr>
      </w:pPr>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7"/>
      <w:bookmarkEnd w:id="58"/>
      <w:bookmarkEnd w:id="59"/>
      <w:r>
        <w:rPr>
          <w:rFonts w:hint="eastAsia" w:ascii="宋体" w:hAnsi="宋体" w:eastAsia="宋体"/>
          <w:color w:val="auto"/>
          <w:highlight w:val="none"/>
        </w:rPr>
        <w:t>（复印件加盖公章）</w:t>
      </w:r>
      <w:bookmarkEnd w:id="62"/>
    </w:p>
    <w:p>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hint="eastAsia" w:ascii="宋体" w:hAnsi="宋体"/>
          <w:color w:val="auto"/>
          <w:sz w:val="24"/>
          <w:szCs w:val="24"/>
          <w:highlight w:val="none"/>
        </w:rPr>
      </w:pPr>
      <w:bookmarkStart w:id="63" w:name="_Toc27549"/>
      <w:bookmarkStart w:id="64" w:name="_Toc492300724"/>
      <w:bookmarkStart w:id="65" w:name="_Toc23438"/>
      <w:bookmarkStart w:id="66" w:name="_Toc26324"/>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3"/>
      <w:bookmarkEnd w:id="64"/>
      <w:bookmarkEnd w:id="65"/>
      <w:bookmarkEnd w:id="66"/>
    </w:p>
    <w:p>
      <w:pPr>
        <w:pStyle w:val="16"/>
        <w:rPr>
          <w:rFonts w:hint="eastAsia"/>
          <w:color w:val="auto"/>
          <w:highlight w:val="none"/>
        </w:rPr>
      </w:pPr>
    </w:p>
    <w:p>
      <w:p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根据授权</w:t>
      </w:r>
      <w:r>
        <w:rPr>
          <w:rFonts w:hint="eastAsia" w:ascii="宋体" w:hAnsi="宋体"/>
          <w:color w:val="auto"/>
          <w:sz w:val="24"/>
          <w:szCs w:val="24"/>
          <w:highlight w:val="none"/>
          <w:lang w:val="en-US" w:eastAsia="zh-CN"/>
        </w:rPr>
        <w:t>具有以下权利：</w:t>
      </w:r>
    </w:p>
    <w:p>
      <w:pPr>
        <w:numPr>
          <w:ilvl w:val="0"/>
          <w:numId w:val="5"/>
        </w:num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以我方名义签署、澄清确认、递交、撤回、修改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揭榜响应文件、签订合同和处理有关事宜，其法律后果由我方承担。</w:t>
      </w:r>
    </w:p>
    <w:p>
      <w:pPr>
        <w:numPr>
          <w:ilvl w:val="0"/>
          <w:numId w:val="5"/>
        </w:num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委托期限：自本委托书签署之日起至履约完成止。</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无转委托权。</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身份证复印件。</w:t>
      </w:r>
    </w:p>
    <w:p>
      <w:pPr>
        <w:autoSpaceDE w:val="0"/>
        <w:autoSpaceDN w:val="0"/>
        <w:spacing w:line="360" w:lineRule="auto"/>
        <w:ind w:firstLine="200"/>
        <w:jc w:val="left"/>
        <w:rPr>
          <w:rFonts w:ascii="宋体" w:hAnsi="宋体"/>
          <w:color w:val="auto"/>
          <w:highlight w:val="none"/>
        </w:rPr>
      </w:pP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color w:val="auto"/>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u w:val="single"/>
        </w:rPr>
      </w:pPr>
      <w:r>
        <w:rPr>
          <w:rFonts w:hint="eastAsia" w:ascii="宋体" w:hAnsi="宋体"/>
          <w:color w:val="auto"/>
          <w:sz w:val="24"/>
          <w:szCs w:val="24"/>
          <w:highlight w:val="none"/>
        </w:rPr>
        <w:t>揭榜</w:t>
      </w:r>
      <w:r>
        <w:rPr>
          <w:rFonts w:hint="eastAsia" w:ascii="宋体" w:hAnsi="宋体" w:cs="宋体"/>
          <w:color w:val="auto"/>
          <w:kern w:val="0"/>
          <w:sz w:val="24"/>
          <w:szCs w:val="24"/>
          <w:highlight w:val="none"/>
        </w:rPr>
        <w:t>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color w:val="auto"/>
          <w:kern w:val="0"/>
          <w:sz w:val="24"/>
          <w:szCs w:val="24"/>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color w:val="auto"/>
          <w:sz w:val="24"/>
          <w:szCs w:val="24"/>
          <w:highlight w:val="none"/>
        </w:rPr>
      </w:pPr>
      <w:r>
        <w:rPr>
          <w:rFonts w:hint="eastAsia" w:ascii="宋体" w:hAnsi="宋体" w:cs="宋体"/>
          <w:b/>
          <w:bCs/>
          <w:color w:val="auto"/>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联合体</w:t>
      </w:r>
      <w:r>
        <w:rPr>
          <w:rFonts w:hint="eastAsia" w:ascii="宋体" w:hAnsi="宋体" w:cs="宋体"/>
          <w:color w:val="auto"/>
          <w:kern w:val="0"/>
          <w:sz w:val="24"/>
          <w:szCs w:val="24"/>
          <w:highlight w:val="none"/>
        </w:rPr>
        <w:t>牵头人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color w:val="auto"/>
          <w:highlight w:val="none"/>
        </w:rPr>
      </w:pPr>
      <w:r>
        <w:rPr>
          <w:rFonts w:hint="eastAsia" w:ascii="宋体" w:hAnsi="宋体" w:cs="宋体"/>
          <w:color w:val="auto"/>
          <w:kern w:val="0"/>
          <w:sz w:val="24"/>
          <w:szCs w:val="24"/>
          <w:highlight w:val="none"/>
        </w:rPr>
        <w:t>成员单位名称：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wordWrap w:val="0"/>
        <w:spacing w:line="480" w:lineRule="auto"/>
        <w:ind w:firstLine="4636" w:firstLineChars="1932"/>
        <w:jc w:val="right"/>
        <w:rPr>
          <w:rFonts w:ascii="宋体" w:hAnsi="宋体"/>
          <w:color w:val="auto"/>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80" w:lineRule="auto"/>
        <w:ind w:firstLine="3117" w:firstLineChars="1299"/>
        <w:rPr>
          <w:rFonts w:hint="eastAsia" w:ascii="宋体" w:hAnsi="宋体" w:cs="宋体"/>
          <w:color w:val="auto"/>
          <w:kern w:val="0"/>
          <w:sz w:val="24"/>
          <w:szCs w:val="24"/>
          <w:highlight w:val="none"/>
        </w:rPr>
      </w:pPr>
    </w:p>
    <w:p>
      <w:pPr>
        <w:pStyle w:val="3"/>
        <w:spacing w:after="0"/>
        <w:jc w:val="center"/>
        <w:rPr>
          <w:rFonts w:ascii="宋体" w:hAnsi="宋体" w:eastAsia="宋体"/>
          <w:color w:val="auto"/>
          <w:highlight w:val="none"/>
        </w:rPr>
      </w:pPr>
      <w:bookmarkStart w:id="67" w:name="_Toc4908"/>
      <w:bookmarkStart w:id="68" w:name="_Toc26021"/>
      <w:bookmarkStart w:id="69" w:name="_Toc492300728"/>
      <w:bookmarkStart w:id="70" w:name="_Toc24585"/>
      <w:bookmarkStart w:id="71" w:name="_Toc361508760"/>
      <w:r>
        <w:rPr>
          <w:rFonts w:hint="eastAsia" w:ascii="宋体" w:hAnsi="宋体" w:eastAsia="宋体"/>
          <w:color w:val="auto"/>
          <w:highlight w:val="none"/>
          <w:lang w:val="en-US" w:eastAsia="zh-CN"/>
        </w:rPr>
        <w:t>5</w:t>
      </w:r>
      <w:r>
        <w:rPr>
          <w:rFonts w:ascii="宋体" w:hAnsi="宋体" w:eastAsia="宋体"/>
          <w:color w:val="auto"/>
          <w:highlight w:val="none"/>
        </w:rPr>
        <w:t>、</w:t>
      </w:r>
      <w:r>
        <w:rPr>
          <w:rFonts w:hint="eastAsia" w:ascii="宋体" w:hAnsi="宋体" w:eastAsia="宋体"/>
          <w:color w:val="auto"/>
          <w:highlight w:val="none"/>
        </w:rPr>
        <w:t>联合体协议书</w:t>
      </w:r>
      <w:bookmarkEnd w:id="67"/>
    </w:p>
    <w:p>
      <w:pPr>
        <w:rPr>
          <w:color w:val="auto"/>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w:t>
      </w:r>
      <w:r>
        <w:rPr>
          <w:rFonts w:hint="eastAsia" w:ascii="宋体" w:hAnsi="宋体" w:cs="宋体"/>
          <w:color w:val="auto"/>
          <w:kern w:val="0"/>
          <w:sz w:val="24"/>
          <w:szCs w:val="24"/>
          <w:highlight w:val="none"/>
          <w:lang w:val="en-US" w:eastAsia="zh-CN"/>
        </w:rPr>
        <w:t>所有成员</w:t>
      </w:r>
      <w:r>
        <w:rPr>
          <w:rFonts w:hint="eastAsia" w:ascii="宋体" w:hAnsi="宋体" w:cs="宋体"/>
          <w:color w:val="auto"/>
          <w:kern w:val="0"/>
          <w:sz w:val="24"/>
          <w:szCs w:val="24"/>
          <w:highlight w:val="none"/>
        </w:rPr>
        <w:t>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pPr>
        <w:autoSpaceDE w:val="0"/>
        <w:autoSpaceDN w:val="0"/>
        <w:spacing w:line="360" w:lineRule="auto"/>
        <w:ind w:firstLine="480" w:firstLineChars="200"/>
        <w:jc w:val="left"/>
        <w:rPr>
          <w:rFonts w:ascii="宋体" w:hAnsi="宋体" w:cs="宋体"/>
          <w:color w:val="auto"/>
          <w:kern w:val="0"/>
          <w:sz w:val="24"/>
          <w:szCs w:val="24"/>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pPr>
        <w:autoSpaceDE w:val="0"/>
        <w:autoSpaceDN w:val="0"/>
        <w:spacing w:line="360" w:lineRule="auto"/>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480" w:lineRule="auto"/>
        <w:ind w:firstLine="480" w:firstLineChars="200"/>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360" w:lineRule="auto"/>
        <w:jc w:val="left"/>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pStyle w:val="3"/>
        <w:spacing w:after="0"/>
        <w:jc w:val="center"/>
        <w:rPr>
          <w:rFonts w:ascii="宋体" w:hAnsi="宋体" w:eastAsia="宋体"/>
          <w:color w:val="auto"/>
          <w:highlight w:val="none"/>
        </w:rPr>
      </w:pPr>
      <w:bookmarkStart w:id="72" w:name="_Toc6460"/>
      <w:r>
        <w:rPr>
          <w:rFonts w:hint="eastAsia" w:ascii="宋体" w:hAnsi="宋体" w:eastAsia="宋体"/>
          <w:color w:val="auto"/>
          <w:highlight w:val="none"/>
          <w:lang w:val="en-US" w:eastAsia="zh-CN"/>
        </w:rPr>
        <w:t>6</w:t>
      </w:r>
      <w:r>
        <w:rPr>
          <w:rFonts w:ascii="宋体" w:hAnsi="宋体" w:eastAsia="宋体"/>
          <w:color w:val="auto"/>
          <w:highlight w:val="none"/>
        </w:rPr>
        <w:t>、</w:t>
      </w:r>
      <w:bookmarkEnd w:id="68"/>
      <w:bookmarkEnd w:id="69"/>
      <w:bookmarkEnd w:id="70"/>
      <w:r>
        <w:rPr>
          <w:rFonts w:hint="eastAsia" w:ascii="宋体" w:hAnsi="宋体" w:eastAsia="宋体"/>
          <w:color w:val="auto"/>
          <w:highlight w:val="none"/>
        </w:rPr>
        <w:t>揭榜人基本情况</w:t>
      </w:r>
      <w:bookmarkEnd w:id="72"/>
    </w:p>
    <w:p>
      <w:pPr>
        <w:pStyle w:val="4"/>
        <w:spacing w:before="20" w:after="0"/>
        <w:ind w:firstLine="137"/>
        <w:rPr>
          <w:rFonts w:ascii="宋体" w:hAnsi="宋体" w:eastAsia="宋体"/>
          <w:color w:val="auto"/>
          <w:highlight w:val="none"/>
        </w:rPr>
      </w:pPr>
      <w:bookmarkStart w:id="73" w:name="_Toc27394"/>
      <w:bookmarkStart w:id="74" w:name="_Toc28405"/>
      <w:bookmarkStart w:id="75" w:name="_Toc492300729"/>
      <w:bookmarkStart w:id="76" w:name="_Toc25905"/>
      <w:r>
        <w:rPr>
          <w:rFonts w:ascii="宋体" w:hAnsi="宋体" w:eastAsia="宋体"/>
          <w:color w:val="auto"/>
          <w:highlight w:val="none"/>
        </w:rPr>
        <w:t>（一）</w:t>
      </w:r>
      <w:bookmarkEnd w:id="73"/>
      <w:bookmarkEnd w:id="74"/>
      <w:bookmarkEnd w:id="75"/>
      <w:r>
        <w:rPr>
          <w:rFonts w:hint="eastAsia" w:ascii="宋体" w:hAnsi="宋体" w:eastAsia="宋体"/>
          <w:color w:val="auto"/>
          <w:highlight w:val="none"/>
        </w:rPr>
        <w:t>项目团队组成</w:t>
      </w:r>
      <w:bookmarkEnd w:id="76"/>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77" w:name="_Toc29290"/>
      <w:bookmarkStart w:id="78" w:name="_Toc16883"/>
      <w:bookmarkStart w:id="79" w:name="_Toc24383"/>
      <w:bookmarkStart w:id="80" w:name="_Toc492300730"/>
    </w:p>
    <w:p>
      <w:pPr>
        <w:pStyle w:val="4"/>
        <w:ind w:firstLine="137"/>
        <w:rPr>
          <w:rFonts w:ascii="宋体" w:hAnsi="宋体" w:eastAsia="宋体"/>
          <w:color w:val="auto"/>
          <w:highlight w:val="none"/>
        </w:rPr>
      </w:pPr>
      <w:bookmarkStart w:id="81" w:name="_Toc10389"/>
      <w:r>
        <w:rPr>
          <w:rFonts w:ascii="宋体" w:hAnsi="宋体" w:eastAsia="宋体"/>
          <w:color w:val="auto"/>
          <w:highlight w:val="none"/>
        </w:rPr>
        <w:t>（二）</w:t>
      </w:r>
      <w:bookmarkEnd w:id="77"/>
      <w:bookmarkEnd w:id="78"/>
      <w:bookmarkEnd w:id="79"/>
      <w:bookmarkEnd w:id="80"/>
      <w:r>
        <w:rPr>
          <w:rFonts w:hint="eastAsia" w:ascii="宋体" w:hAnsi="宋体" w:eastAsia="宋体"/>
          <w:color w:val="auto"/>
          <w:highlight w:val="none"/>
        </w:rPr>
        <w:t>主要人员简历表</w:t>
      </w:r>
      <w:bookmarkEnd w:id="81"/>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主要人员”作为项目负责人或主研人员（排名前六名）参与过的类似科技创新项目须附合同协议书复印件（本响应文件复印件均指彩色扫描输出件，下同）、项目鉴定证书复印件、项目获奖证书复印件。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71"/>
    <w:p>
      <w:pPr>
        <w:pStyle w:val="3"/>
        <w:spacing w:after="0"/>
        <w:jc w:val="center"/>
        <w:rPr>
          <w:rFonts w:hint="eastAsia" w:ascii="宋体" w:hAnsi="宋体" w:eastAsia="宋体"/>
          <w:color w:val="auto"/>
          <w:highlight w:val="none"/>
        </w:rPr>
      </w:pPr>
      <w:bookmarkStart w:id="82" w:name="_Toc492300737"/>
      <w:bookmarkStart w:id="83" w:name="_Toc17811"/>
      <w:bookmarkStart w:id="84" w:name="_Toc8846"/>
      <w:bookmarkStart w:id="85" w:name="_Toc25490"/>
      <w:r>
        <w:rPr>
          <w:rFonts w:hint="eastAsia" w:ascii="宋体" w:hAnsi="宋体" w:eastAsia="宋体"/>
          <w:color w:val="auto"/>
          <w:highlight w:val="none"/>
          <w:lang w:val="en-US" w:eastAsia="zh-CN"/>
        </w:rPr>
        <w:t>7</w:t>
      </w:r>
      <w:r>
        <w:rPr>
          <w:rFonts w:ascii="宋体" w:hAnsi="宋体" w:eastAsia="宋体"/>
          <w:color w:val="auto"/>
          <w:highlight w:val="none"/>
        </w:rPr>
        <w:t>、</w:t>
      </w:r>
      <w:bookmarkEnd w:id="82"/>
      <w:bookmarkEnd w:id="83"/>
      <w:bookmarkEnd w:id="84"/>
      <w:r>
        <w:rPr>
          <w:rFonts w:hint="eastAsia" w:ascii="宋体" w:hAnsi="宋体" w:eastAsia="宋体"/>
          <w:color w:val="auto"/>
          <w:highlight w:val="none"/>
        </w:rPr>
        <w:t>技术方案</w:t>
      </w:r>
      <w:bookmarkEnd w:id="85"/>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86" w:name="_Toc29825"/>
      <w:bookmarkStart w:id="87" w:name="_Toc25973"/>
      <w:bookmarkStart w:id="88" w:name="_Toc492300738"/>
      <w:bookmarkStart w:id="89" w:name="_Toc29261"/>
      <w:r>
        <w:rPr>
          <w:rFonts w:hint="eastAsia" w:ascii="宋体" w:hAnsi="宋体" w:eastAsia="宋体"/>
          <w:color w:val="auto"/>
          <w:highlight w:val="none"/>
          <w:lang w:val="en-US" w:eastAsia="zh-CN"/>
        </w:rPr>
        <w:t>8</w:t>
      </w:r>
      <w:r>
        <w:rPr>
          <w:rFonts w:ascii="宋体" w:hAnsi="宋体" w:eastAsia="宋体"/>
          <w:color w:val="auto"/>
          <w:highlight w:val="none"/>
        </w:rPr>
        <w:t>、其他</w:t>
      </w:r>
      <w:bookmarkEnd w:id="86"/>
      <w:bookmarkEnd w:id="87"/>
      <w:bookmarkEnd w:id="88"/>
      <w:r>
        <w:rPr>
          <w:rFonts w:hint="eastAsia" w:ascii="宋体" w:hAnsi="宋体" w:eastAsia="宋体"/>
          <w:color w:val="auto"/>
          <w:highlight w:val="none"/>
        </w:rPr>
        <w:t>材料</w:t>
      </w:r>
      <w:bookmarkEnd w:id="89"/>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包括张承张家口分公司</w:t>
      </w:r>
      <w:r>
        <w:rPr>
          <w:rFonts w:hint="eastAsia" w:cs="黑体" w:asciiTheme="minorEastAsia" w:hAnsiTheme="minorEastAsia" w:eastAsiaTheme="minorEastAsia"/>
          <w:bCs/>
          <w:color w:val="auto"/>
          <w:sz w:val="21"/>
          <w:szCs w:val="21"/>
          <w:highlight w:val="none"/>
          <w:lang w:eastAsia="zh-CN"/>
        </w:rPr>
        <w:t>）</w:t>
      </w:r>
      <w:r>
        <w:rPr>
          <w:rFonts w:hint="eastAsia" w:ascii="宋体" w:hAnsi="宋体"/>
          <w:color w:val="auto"/>
          <w:sz w:val="24"/>
          <w:szCs w:val="24"/>
          <w:highlight w:val="none"/>
          <w:lang w:val="en-US" w:eastAsia="zh-CN"/>
        </w:rPr>
        <w:t>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keepNext/>
        <w:keepLines/>
        <w:spacing w:line="400" w:lineRule="exact"/>
        <w:jc w:val="center"/>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7" o:spid="_x0000_s410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A6D65CBE"/>
    <w:multiLevelType w:val="singleLevel"/>
    <w:tmpl w:val="A6D65CBE"/>
    <w:lvl w:ilvl="0" w:tentative="0">
      <w:start w:val="2"/>
      <w:numFmt w:val="decimal"/>
      <w:suff w:val="nothing"/>
      <w:lvlText w:val="（%1）"/>
      <w:lvlJc w:val="left"/>
    </w:lvl>
  </w:abstractNum>
  <w:abstractNum w:abstractNumId="2">
    <w:nsid w:val="D1F1DD73"/>
    <w:multiLevelType w:val="singleLevel"/>
    <w:tmpl w:val="D1F1DD73"/>
    <w:lvl w:ilvl="0" w:tentative="0">
      <w:start w:val="1"/>
      <w:numFmt w:val="decimal"/>
      <w:lvlText w:val="%1."/>
      <w:lvlJc w:val="left"/>
      <w:pPr>
        <w:tabs>
          <w:tab w:val="left" w:pos="312"/>
        </w:tabs>
      </w:pPr>
    </w:lvl>
  </w:abstractNum>
  <w:abstractNum w:abstractNumId="3">
    <w:nsid w:val="501256D2"/>
    <w:multiLevelType w:val="multilevel"/>
    <w:tmpl w:val="501256D2"/>
    <w:lvl w:ilvl="0" w:tentative="0">
      <w:start w:val="1"/>
      <w:numFmt w:val="decimal"/>
      <w:lvlText w:val="(%1)"/>
      <w:lvlJc w:val="left"/>
      <w:pPr>
        <w:ind w:left="105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5FB8D746"/>
    <w:multiLevelType w:val="singleLevel"/>
    <w:tmpl w:val="5FB8D746"/>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16D37"/>
    <w:rsid w:val="01341807"/>
    <w:rsid w:val="01EA636A"/>
    <w:rsid w:val="03417D55"/>
    <w:rsid w:val="03CF5817"/>
    <w:rsid w:val="03F10E17"/>
    <w:rsid w:val="04237050"/>
    <w:rsid w:val="04291A94"/>
    <w:rsid w:val="04483841"/>
    <w:rsid w:val="045F626B"/>
    <w:rsid w:val="046739A0"/>
    <w:rsid w:val="04936023"/>
    <w:rsid w:val="04A0702C"/>
    <w:rsid w:val="04F4747F"/>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8312D6"/>
    <w:rsid w:val="089501E8"/>
    <w:rsid w:val="08986E07"/>
    <w:rsid w:val="08FB71E4"/>
    <w:rsid w:val="095A7031"/>
    <w:rsid w:val="095B3538"/>
    <w:rsid w:val="09710FA4"/>
    <w:rsid w:val="09732DA3"/>
    <w:rsid w:val="09756E61"/>
    <w:rsid w:val="099C519F"/>
    <w:rsid w:val="09AF1AFD"/>
    <w:rsid w:val="09B935F1"/>
    <w:rsid w:val="09BA5285"/>
    <w:rsid w:val="09E36E57"/>
    <w:rsid w:val="09F074BD"/>
    <w:rsid w:val="0A211140"/>
    <w:rsid w:val="0AA9643A"/>
    <w:rsid w:val="0ABC7B11"/>
    <w:rsid w:val="0AC80BFE"/>
    <w:rsid w:val="0B345DF8"/>
    <w:rsid w:val="0B4D45D6"/>
    <w:rsid w:val="0B697088"/>
    <w:rsid w:val="0B6C6360"/>
    <w:rsid w:val="0B710407"/>
    <w:rsid w:val="0B723658"/>
    <w:rsid w:val="0BAE575C"/>
    <w:rsid w:val="0BF35110"/>
    <w:rsid w:val="0C5E598A"/>
    <w:rsid w:val="0C615C52"/>
    <w:rsid w:val="0C8D5FC5"/>
    <w:rsid w:val="0C904D8B"/>
    <w:rsid w:val="0CAF1D4F"/>
    <w:rsid w:val="0CB72983"/>
    <w:rsid w:val="0CBC5489"/>
    <w:rsid w:val="0CE83E31"/>
    <w:rsid w:val="0D066C07"/>
    <w:rsid w:val="0D283B98"/>
    <w:rsid w:val="0DC727E4"/>
    <w:rsid w:val="0E0830D6"/>
    <w:rsid w:val="0E65589C"/>
    <w:rsid w:val="0F24110D"/>
    <w:rsid w:val="0F645268"/>
    <w:rsid w:val="10123DFE"/>
    <w:rsid w:val="10507E9A"/>
    <w:rsid w:val="11134763"/>
    <w:rsid w:val="113118BF"/>
    <w:rsid w:val="1196730B"/>
    <w:rsid w:val="11DC2BFD"/>
    <w:rsid w:val="11F9204F"/>
    <w:rsid w:val="12092160"/>
    <w:rsid w:val="12322646"/>
    <w:rsid w:val="12461711"/>
    <w:rsid w:val="12606C25"/>
    <w:rsid w:val="12BF6186"/>
    <w:rsid w:val="12ED0DC6"/>
    <w:rsid w:val="12FF72E8"/>
    <w:rsid w:val="13392CAD"/>
    <w:rsid w:val="133C6BEC"/>
    <w:rsid w:val="13E24F8D"/>
    <w:rsid w:val="14145452"/>
    <w:rsid w:val="144A62D6"/>
    <w:rsid w:val="14594C9D"/>
    <w:rsid w:val="14CF5677"/>
    <w:rsid w:val="1508079D"/>
    <w:rsid w:val="1539776F"/>
    <w:rsid w:val="15875F5E"/>
    <w:rsid w:val="159310AD"/>
    <w:rsid w:val="15B1406F"/>
    <w:rsid w:val="160752E5"/>
    <w:rsid w:val="161136EA"/>
    <w:rsid w:val="161E4B7B"/>
    <w:rsid w:val="173C35EC"/>
    <w:rsid w:val="17820A15"/>
    <w:rsid w:val="179A59B1"/>
    <w:rsid w:val="17AD081E"/>
    <w:rsid w:val="17B47C5A"/>
    <w:rsid w:val="17F65328"/>
    <w:rsid w:val="18500FEE"/>
    <w:rsid w:val="18915F7D"/>
    <w:rsid w:val="18CB7380"/>
    <w:rsid w:val="18F07E29"/>
    <w:rsid w:val="19065D22"/>
    <w:rsid w:val="1985097A"/>
    <w:rsid w:val="19866520"/>
    <w:rsid w:val="19E8673A"/>
    <w:rsid w:val="1A663ED5"/>
    <w:rsid w:val="1A936400"/>
    <w:rsid w:val="1AAB1FF9"/>
    <w:rsid w:val="1AE04F3D"/>
    <w:rsid w:val="1AF9645A"/>
    <w:rsid w:val="1B172193"/>
    <w:rsid w:val="1B1D5AA8"/>
    <w:rsid w:val="1B2C5602"/>
    <w:rsid w:val="1B3C2E09"/>
    <w:rsid w:val="1B8A2A6F"/>
    <w:rsid w:val="1B903EF3"/>
    <w:rsid w:val="1C5B0FBE"/>
    <w:rsid w:val="1D464944"/>
    <w:rsid w:val="1D4E011E"/>
    <w:rsid w:val="1F006163"/>
    <w:rsid w:val="1F070D9C"/>
    <w:rsid w:val="1F164D67"/>
    <w:rsid w:val="1F664E2A"/>
    <w:rsid w:val="1F795149"/>
    <w:rsid w:val="21337A07"/>
    <w:rsid w:val="21633DEB"/>
    <w:rsid w:val="21CF6C0F"/>
    <w:rsid w:val="21DF0545"/>
    <w:rsid w:val="223916EB"/>
    <w:rsid w:val="22AE4DC1"/>
    <w:rsid w:val="22CE2D81"/>
    <w:rsid w:val="236A2C16"/>
    <w:rsid w:val="23800B7D"/>
    <w:rsid w:val="23834952"/>
    <w:rsid w:val="23A436AB"/>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100597"/>
    <w:rsid w:val="29966CBE"/>
    <w:rsid w:val="29CD435B"/>
    <w:rsid w:val="29D31D30"/>
    <w:rsid w:val="2A0F03DD"/>
    <w:rsid w:val="2A1A5567"/>
    <w:rsid w:val="2AA47EA7"/>
    <w:rsid w:val="2AF42702"/>
    <w:rsid w:val="2B030958"/>
    <w:rsid w:val="2B182A85"/>
    <w:rsid w:val="2B30706C"/>
    <w:rsid w:val="2B3444F3"/>
    <w:rsid w:val="2BEC2CCA"/>
    <w:rsid w:val="2C124896"/>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7C51"/>
    <w:rsid w:val="338E43D0"/>
    <w:rsid w:val="33A65F89"/>
    <w:rsid w:val="33C17C11"/>
    <w:rsid w:val="33CE464F"/>
    <w:rsid w:val="33D65C29"/>
    <w:rsid w:val="34BF5B9B"/>
    <w:rsid w:val="34D370F1"/>
    <w:rsid w:val="357A753F"/>
    <w:rsid w:val="35F04FF6"/>
    <w:rsid w:val="36376685"/>
    <w:rsid w:val="368F1B0D"/>
    <w:rsid w:val="36B1341E"/>
    <w:rsid w:val="36BD3E66"/>
    <w:rsid w:val="37001D68"/>
    <w:rsid w:val="381B27FE"/>
    <w:rsid w:val="38EF001B"/>
    <w:rsid w:val="39AF4E00"/>
    <w:rsid w:val="3AAF17DF"/>
    <w:rsid w:val="3ABC3D62"/>
    <w:rsid w:val="3B037579"/>
    <w:rsid w:val="3B8C3A12"/>
    <w:rsid w:val="3BA44248"/>
    <w:rsid w:val="3CB34956"/>
    <w:rsid w:val="3CF87FC2"/>
    <w:rsid w:val="3D0A6A03"/>
    <w:rsid w:val="3D2F2642"/>
    <w:rsid w:val="3D43534E"/>
    <w:rsid w:val="3D5E49A7"/>
    <w:rsid w:val="3DB26DB5"/>
    <w:rsid w:val="3E1201FF"/>
    <w:rsid w:val="3E3F2FBE"/>
    <w:rsid w:val="3E435841"/>
    <w:rsid w:val="3EA6654C"/>
    <w:rsid w:val="3ED62DE1"/>
    <w:rsid w:val="3F0548FB"/>
    <w:rsid w:val="3F482864"/>
    <w:rsid w:val="3F91146E"/>
    <w:rsid w:val="3FBA2006"/>
    <w:rsid w:val="3FF216BF"/>
    <w:rsid w:val="401A3826"/>
    <w:rsid w:val="401D10DD"/>
    <w:rsid w:val="4044397D"/>
    <w:rsid w:val="407B4DD5"/>
    <w:rsid w:val="408825BD"/>
    <w:rsid w:val="40A4301A"/>
    <w:rsid w:val="40E34069"/>
    <w:rsid w:val="40F10F3B"/>
    <w:rsid w:val="41035E00"/>
    <w:rsid w:val="41205243"/>
    <w:rsid w:val="41205969"/>
    <w:rsid w:val="414C5B13"/>
    <w:rsid w:val="41935C36"/>
    <w:rsid w:val="41A338E3"/>
    <w:rsid w:val="41E719A3"/>
    <w:rsid w:val="41EF35B2"/>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E178A9"/>
    <w:rsid w:val="47151B7B"/>
    <w:rsid w:val="47657605"/>
    <w:rsid w:val="47702945"/>
    <w:rsid w:val="477B24C6"/>
    <w:rsid w:val="478620D9"/>
    <w:rsid w:val="47AF7524"/>
    <w:rsid w:val="47EE45D6"/>
    <w:rsid w:val="47F424A8"/>
    <w:rsid w:val="47F475C8"/>
    <w:rsid w:val="48082673"/>
    <w:rsid w:val="4880387F"/>
    <w:rsid w:val="489363E0"/>
    <w:rsid w:val="494A17E6"/>
    <w:rsid w:val="494C2F28"/>
    <w:rsid w:val="49532238"/>
    <w:rsid w:val="4A79273B"/>
    <w:rsid w:val="4A8A6EE9"/>
    <w:rsid w:val="4AAE12ED"/>
    <w:rsid w:val="4ACF6971"/>
    <w:rsid w:val="4AE54494"/>
    <w:rsid w:val="4AEE3DA2"/>
    <w:rsid w:val="4B002D0B"/>
    <w:rsid w:val="4B3B7759"/>
    <w:rsid w:val="4B6F34DF"/>
    <w:rsid w:val="4C324B4D"/>
    <w:rsid w:val="4C3C1ECD"/>
    <w:rsid w:val="4C4A31A8"/>
    <w:rsid w:val="4C600189"/>
    <w:rsid w:val="4D133C1F"/>
    <w:rsid w:val="4D4B7289"/>
    <w:rsid w:val="4D5837DF"/>
    <w:rsid w:val="4D6C1337"/>
    <w:rsid w:val="4E1E3016"/>
    <w:rsid w:val="4E2D65F4"/>
    <w:rsid w:val="4E927560"/>
    <w:rsid w:val="4F2E1B93"/>
    <w:rsid w:val="4F444DA8"/>
    <w:rsid w:val="50281D82"/>
    <w:rsid w:val="50377320"/>
    <w:rsid w:val="508F3801"/>
    <w:rsid w:val="50907C1B"/>
    <w:rsid w:val="51974145"/>
    <w:rsid w:val="51A13A4D"/>
    <w:rsid w:val="51AA740B"/>
    <w:rsid w:val="51E329FD"/>
    <w:rsid w:val="5245449C"/>
    <w:rsid w:val="52626218"/>
    <w:rsid w:val="529D3F90"/>
    <w:rsid w:val="533A6B1F"/>
    <w:rsid w:val="534F47CD"/>
    <w:rsid w:val="53807604"/>
    <w:rsid w:val="53923005"/>
    <w:rsid w:val="53AE211E"/>
    <w:rsid w:val="53F35AA0"/>
    <w:rsid w:val="540F4AC5"/>
    <w:rsid w:val="54116BEA"/>
    <w:rsid w:val="544F4A8C"/>
    <w:rsid w:val="54910CCD"/>
    <w:rsid w:val="555C6CC5"/>
    <w:rsid w:val="55B7162A"/>
    <w:rsid w:val="55DD513F"/>
    <w:rsid w:val="55EE5FB0"/>
    <w:rsid w:val="56002BDB"/>
    <w:rsid w:val="564D2E6E"/>
    <w:rsid w:val="565C4CEB"/>
    <w:rsid w:val="56C00361"/>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F8288E"/>
    <w:rsid w:val="5B3914EA"/>
    <w:rsid w:val="5C1D2FEA"/>
    <w:rsid w:val="5C33362F"/>
    <w:rsid w:val="5C475989"/>
    <w:rsid w:val="5C9D551C"/>
    <w:rsid w:val="5CA000BD"/>
    <w:rsid w:val="5D227921"/>
    <w:rsid w:val="5D261093"/>
    <w:rsid w:val="5DDA48DE"/>
    <w:rsid w:val="5E29571C"/>
    <w:rsid w:val="5E916AC6"/>
    <w:rsid w:val="5EB35FD5"/>
    <w:rsid w:val="5EEA5586"/>
    <w:rsid w:val="5FE84E0C"/>
    <w:rsid w:val="60221B67"/>
    <w:rsid w:val="60371971"/>
    <w:rsid w:val="603A563D"/>
    <w:rsid w:val="60A07495"/>
    <w:rsid w:val="60A1672C"/>
    <w:rsid w:val="61102418"/>
    <w:rsid w:val="61960027"/>
    <w:rsid w:val="61B431F8"/>
    <w:rsid w:val="61BB1A22"/>
    <w:rsid w:val="61BF597B"/>
    <w:rsid w:val="61D15BC4"/>
    <w:rsid w:val="62364E82"/>
    <w:rsid w:val="62D3704F"/>
    <w:rsid w:val="62D67C30"/>
    <w:rsid w:val="62E2764E"/>
    <w:rsid w:val="632D31B2"/>
    <w:rsid w:val="63A46FE8"/>
    <w:rsid w:val="63D731CD"/>
    <w:rsid w:val="63D8128B"/>
    <w:rsid w:val="642151C6"/>
    <w:rsid w:val="644614E5"/>
    <w:rsid w:val="64C15A14"/>
    <w:rsid w:val="64CF1337"/>
    <w:rsid w:val="650B0D9A"/>
    <w:rsid w:val="658F391F"/>
    <w:rsid w:val="65E91508"/>
    <w:rsid w:val="66032276"/>
    <w:rsid w:val="661D1EC9"/>
    <w:rsid w:val="664632CD"/>
    <w:rsid w:val="669107FE"/>
    <w:rsid w:val="67A81366"/>
    <w:rsid w:val="67CB05AF"/>
    <w:rsid w:val="6823575F"/>
    <w:rsid w:val="6837248C"/>
    <w:rsid w:val="684352D5"/>
    <w:rsid w:val="68531E47"/>
    <w:rsid w:val="685D7406"/>
    <w:rsid w:val="687A230C"/>
    <w:rsid w:val="695024C9"/>
    <w:rsid w:val="69826C27"/>
    <w:rsid w:val="69C05452"/>
    <w:rsid w:val="69C41145"/>
    <w:rsid w:val="69F22D9A"/>
    <w:rsid w:val="69FF421F"/>
    <w:rsid w:val="6A071FEB"/>
    <w:rsid w:val="6AF36526"/>
    <w:rsid w:val="6BC8321C"/>
    <w:rsid w:val="6BD204A2"/>
    <w:rsid w:val="6C16415D"/>
    <w:rsid w:val="6C69727C"/>
    <w:rsid w:val="6D083C9E"/>
    <w:rsid w:val="6D140187"/>
    <w:rsid w:val="6D657CF7"/>
    <w:rsid w:val="6D837F22"/>
    <w:rsid w:val="6DC05860"/>
    <w:rsid w:val="6E176E67"/>
    <w:rsid w:val="6EB12F02"/>
    <w:rsid w:val="6EEE6A88"/>
    <w:rsid w:val="6FC225B8"/>
    <w:rsid w:val="6FFB38F1"/>
    <w:rsid w:val="701A1EC9"/>
    <w:rsid w:val="70990C89"/>
    <w:rsid w:val="70B54B71"/>
    <w:rsid w:val="70CA5490"/>
    <w:rsid w:val="70DA002F"/>
    <w:rsid w:val="70FB5532"/>
    <w:rsid w:val="718F626C"/>
    <w:rsid w:val="71A572AB"/>
    <w:rsid w:val="71DA772B"/>
    <w:rsid w:val="720257FF"/>
    <w:rsid w:val="722B4917"/>
    <w:rsid w:val="726339B7"/>
    <w:rsid w:val="72733074"/>
    <w:rsid w:val="72D13F8C"/>
    <w:rsid w:val="737F734B"/>
    <w:rsid w:val="738855D8"/>
    <w:rsid w:val="738A66F7"/>
    <w:rsid w:val="73AC29BE"/>
    <w:rsid w:val="74086758"/>
    <w:rsid w:val="74397CAE"/>
    <w:rsid w:val="743D75F7"/>
    <w:rsid w:val="746F7452"/>
    <w:rsid w:val="747929FB"/>
    <w:rsid w:val="748368B4"/>
    <w:rsid w:val="748D6638"/>
    <w:rsid w:val="74A40984"/>
    <w:rsid w:val="74DB3AB3"/>
    <w:rsid w:val="74E86974"/>
    <w:rsid w:val="752526AB"/>
    <w:rsid w:val="75356B7E"/>
    <w:rsid w:val="758026DD"/>
    <w:rsid w:val="75AA5A0B"/>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264314"/>
    <w:rsid w:val="7B32675B"/>
    <w:rsid w:val="7B7607DD"/>
    <w:rsid w:val="7BC46A40"/>
    <w:rsid w:val="7C3A38BE"/>
    <w:rsid w:val="7C8213DE"/>
    <w:rsid w:val="7C9C2966"/>
    <w:rsid w:val="7CE43318"/>
    <w:rsid w:val="7CFA4751"/>
    <w:rsid w:val="7D1A4ADE"/>
    <w:rsid w:val="7D502D5B"/>
    <w:rsid w:val="7DB276A6"/>
    <w:rsid w:val="7DEB7B41"/>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next w:val="17"/>
    <w:link w:val="58"/>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1"/>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2"/>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3"/>
    <w:autoRedefine/>
    <w:qFormat/>
    <w:uiPriority w:val="0"/>
    <w:pPr>
      <w:ind w:left="2500" w:leftChars="2500"/>
    </w:pPr>
    <w:rPr>
      <w:rFonts w:ascii="Times New Roman" w:hAnsi="Times New Roman"/>
      <w:szCs w:val="20"/>
    </w:r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5"/>
    <w:autoRedefine/>
    <w:qFormat/>
    <w:uiPriority w:val="0"/>
    <w:pPr>
      <w:tabs>
        <w:tab w:val="center" w:pos="4153"/>
        <w:tab w:val="right" w:pos="8306"/>
      </w:tabs>
      <w:snapToGrid w:val="0"/>
      <w:jc w:val="left"/>
    </w:pPr>
    <w:rPr>
      <w:sz w:val="18"/>
    </w:rPr>
  </w:style>
  <w:style w:type="paragraph" w:styleId="26">
    <w:name w:val="header"/>
    <w:basedOn w:val="1"/>
    <w:link w:val="76"/>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Char1"/>
    <w:basedOn w:val="42"/>
    <w:link w:val="16"/>
    <w:autoRedefine/>
    <w:qFormat/>
    <w:uiPriority w:val="0"/>
    <w:rPr>
      <w:rFonts w:eastAsia="宋体"/>
      <w:kern w:val="2"/>
      <w:sz w:val="21"/>
    </w:rPr>
  </w:style>
  <w:style w:type="character" w:customStyle="1" w:styleId="59">
    <w:name w:val="标题 1 Char"/>
    <w:basedOn w:val="42"/>
    <w:link w:val="2"/>
    <w:autoRedefine/>
    <w:qFormat/>
    <w:uiPriority w:val="0"/>
    <w:rPr>
      <w:rFonts w:eastAsia="宋体"/>
      <w:b/>
      <w:kern w:val="44"/>
      <w:sz w:val="44"/>
    </w:rPr>
  </w:style>
  <w:style w:type="character" w:customStyle="1" w:styleId="60">
    <w:name w:val="标题 2 Char"/>
    <w:basedOn w:val="42"/>
    <w:link w:val="3"/>
    <w:autoRedefine/>
    <w:qFormat/>
    <w:uiPriority w:val="0"/>
    <w:rPr>
      <w:rFonts w:ascii="Arial" w:hAnsi="Arial" w:eastAsia="黑体"/>
      <w:b/>
      <w:kern w:val="2"/>
      <w:sz w:val="32"/>
    </w:rPr>
  </w:style>
  <w:style w:type="character" w:customStyle="1" w:styleId="61">
    <w:name w:val="标题 3 Char"/>
    <w:basedOn w:val="42"/>
    <w:link w:val="4"/>
    <w:autoRedefine/>
    <w:qFormat/>
    <w:uiPriority w:val="0"/>
    <w:rPr>
      <w:rFonts w:ascii="黑体" w:hAnsi="Calibri" w:eastAsia="黑体"/>
      <w:kern w:val="2"/>
      <w:sz w:val="28"/>
    </w:rPr>
  </w:style>
  <w:style w:type="character" w:customStyle="1" w:styleId="62">
    <w:name w:val="标题 4 Char"/>
    <w:basedOn w:val="42"/>
    <w:link w:val="5"/>
    <w:autoRedefine/>
    <w:qFormat/>
    <w:uiPriority w:val="0"/>
    <w:rPr>
      <w:rFonts w:ascii="Arial" w:hAnsi="Arial" w:eastAsia="黑体"/>
      <w:b/>
      <w:bCs/>
      <w:kern w:val="2"/>
      <w:sz w:val="28"/>
      <w:szCs w:val="28"/>
    </w:rPr>
  </w:style>
  <w:style w:type="character" w:customStyle="1" w:styleId="63">
    <w:name w:val="标题 5 Char"/>
    <w:basedOn w:val="42"/>
    <w:link w:val="6"/>
    <w:autoRedefine/>
    <w:semiHidden/>
    <w:qFormat/>
    <w:uiPriority w:val="9"/>
    <w:rPr>
      <w:rFonts w:eastAsia="宋体"/>
      <w:b/>
      <w:bCs/>
      <w:kern w:val="2"/>
      <w:sz w:val="28"/>
      <w:szCs w:val="28"/>
    </w:rPr>
  </w:style>
  <w:style w:type="character" w:customStyle="1" w:styleId="64">
    <w:name w:val="标题 6 Char"/>
    <w:basedOn w:val="42"/>
    <w:link w:val="7"/>
    <w:autoRedefine/>
    <w:qFormat/>
    <w:uiPriority w:val="0"/>
    <w:rPr>
      <w:rFonts w:ascii="Arial" w:hAnsi="Arial" w:eastAsia="黑体"/>
      <w:b/>
      <w:bCs/>
      <w:sz w:val="24"/>
    </w:rPr>
  </w:style>
  <w:style w:type="character" w:customStyle="1" w:styleId="65">
    <w:name w:val="标题 7 Char"/>
    <w:basedOn w:val="42"/>
    <w:link w:val="8"/>
    <w:autoRedefine/>
    <w:qFormat/>
    <w:uiPriority w:val="0"/>
    <w:rPr>
      <w:rFonts w:eastAsia="宋体"/>
      <w:b/>
      <w:bCs/>
      <w:sz w:val="24"/>
    </w:rPr>
  </w:style>
  <w:style w:type="character" w:customStyle="1" w:styleId="66">
    <w:name w:val="标题 8 Char"/>
    <w:basedOn w:val="42"/>
    <w:link w:val="9"/>
    <w:autoRedefine/>
    <w:qFormat/>
    <w:uiPriority w:val="0"/>
    <w:rPr>
      <w:rFonts w:ascii="Arial" w:hAnsi="Arial" w:eastAsia="黑体"/>
      <w:sz w:val="24"/>
    </w:rPr>
  </w:style>
  <w:style w:type="character" w:customStyle="1" w:styleId="67">
    <w:name w:val="标题 9 Char"/>
    <w:basedOn w:val="42"/>
    <w:link w:val="10"/>
    <w:autoRedefine/>
    <w:qFormat/>
    <w:uiPriority w:val="0"/>
    <w:rPr>
      <w:rFonts w:ascii="Arial" w:hAnsi="Arial" w:eastAsia="黑体"/>
      <w:sz w:val="21"/>
      <w:szCs w:val="21"/>
    </w:rPr>
  </w:style>
  <w:style w:type="character" w:customStyle="1" w:styleId="68">
    <w:name w:val="文档结构图 Char"/>
    <w:link w:val="13"/>
    <w:autoRedefine/>
    <w:qFormat/>
    <w:uiPriority w:val="0"/>
    <w:rPr>
      <w:rFonts w:ascii="宋体" w:hAnsi="Calibri" w:eastAsia="宋体" w:cs="宋体"/>
      <w:kern w:val="2"/>
      <w:sz w:val="18"/>
      <w:szCs w:val="18"/>
    </w:rPr>
  </w:style>
  <w:style w:type="character" w:customStyle="1" w:styleId="69">
    <w:name w:val="批注文字 Char"/>
    <w:basedOn w:val="42"/>
    <w:link w:val="14"/>
    <w:autoRedefine/>
    <w:qFormat/>
    <w:uiPriority w:val="0"/>
    <w:rPr>
      <w:rFonts w:eastAsia="宋体"/>
      <w:kern w:val="2"/>
      <w:sz w:val="21"/>
    </w:rPr>
  </w:style>
  <w:style w:type="character" w:customStyle="1" w:styleId="70">
    <w:name w:val="正文文本 3 Char"/>
    <w:basedOn w:val="42"/>
    <w:link w:val="15"/>
    <w:autoRedefine/>
    <w:qFormat/>
    <w:uiPriority w:val="0"/>
    <w:rPr>
      <w:rFonts w:ascii="宋体" w:hAnsi="Calibri" w:eastAsia="宋体"/>
      <w:kern w:val="2"/>
      <w:sz w:val="24"/>
    </w:rPr>
  </w:style>
  <w:style w:type="character" w:customStyle="1" w:styleId="71">
    <w:name w:val="正文文本缩进 Char"/>
    <w:basedOn w:val="42"/>
    <w:link w:val="18"/>
    <w:autoRedefine/>
    <w:qFormat/>
    <w:uiPriority w:val="0"/>
    <w:rPr>
      <w:rFonts w:eastAsia="宋体"/>
      <w:kern w:val="2"/>
      <w:sz w:val="21"/>
    </w:rPr>
  </w:style>
  <w:style w:type="character" w:customStyle="1" w:styleId="72">
    <w:name w:val="纯文本 Char"/>
    <w:link w:val="21"/>
    <w:autoRedefine/>
    <w:qFormat/>
    <w:uiPriority w:val="0"/>
    <w:rPr>
      <w:rFonts w:ascii="宋体" w:hAnsi="Calibri"/>
      <w:kern w:val="2"/>
      <w:sz w:val="21"/>
      <w:szCs w:val="22"/>
    </w:rPr>
  </w:style>
  <w:style w:type="character" w:customStyle="1" w:styleId="73">
    <w:name w:val="日期 Char"/>
    <w:link w:val="23"/>
    <w:autoRedefine/>
    <w:qFormat/>
    <w:uiPriority w:val="0"/>
    <w:rPr>
      <w:rFonts w:eastAsia="宋体"/>
      <w:kern w:val="2"/>
      <w:sz w:val="21"/>
    </w:rPr>
  </w:style>
  <w:style w:type="character" w:customStyle="1" w:styleId="74">
    <w:name w:val="批注框文本 Char"/>
    <w:link w:val="24"/>
    <w:autoRedefine/>
    <w:qFormat/>
    <w:uiPriority w:val="0"/>
    <w:rPr>
      <w:rFonts w:eastAsia="宋体"/>
      <w:kern w:val="2"/>
      <w:sz w:val="18"/>
    </w:rPr>
  </w:style>
  <w:style w:type="character" w:customStyle="1" w:styleId="75">
    <w:name w:val="页脚 Char"/>
    <w:link w:val="25"/>
    <w:autoRedefine/>
    <w:qFormat/>
    <w:uiPriority w:val="0"/>
    <w:rPr>
      <w:rFonts w:ascii="Calibri" w:hAnsi="Calibri" w:eastAsia="宋体"/>
      <w:kern w:val="2"/>
      <w:sz w:val="18"/>
      <w:szCs w:val="22"/>
    </w:rPr>
  </w:style>
  <w:style w:type="character" w:customStyle="1" w:styleId="76">
    <w:name w:val="页眉 Char"/>
    <w:link w:val="26"/>
    <w:autoRedefine/>
    <w:qFormat/>
    <w:uiPriority w:val="0"/>
    <w:rPr>
      <w:rFonts w:eastAsia="宋体"/>
      <w:kern w:val="2"/>
      <w:sz w:val="18"/>
    </w:rPr>
  </w:style>
  <w:style w:type="character" w:customStyle="1" w:styleId="77">
    <w:name w:val="正文文本缩进 3 Char"/>
    <w:basedOn w:val="42"/>
    <w:link w:val="31"/>
    <w:autoRedefine/>
    <w:qFormat/>
    <w:uiPriority w:val="0"/>
    <w:rPr>
      <w:rFonts w:ascii="Calibri" w:hAnsi="Calibri" w:eastAsia="宋体"/>
      <w:kern w:val="2"/>
      <w:sz w:val="16"/>
      <w:szCs w:val="16"/>
    </w:rPr>
  </w:style>
  <w:style w:type="character" w:customStyle="1" w:styleId="78">
    <w:name w:val="标题 Char"/>
    <w:basedOn w:val="42"/>
    <w:link w:val="36"/>
    <w:autoRedefine/>
    <w:qFormat/>
    <w:uiPriority w:val="0"/>
    <w:rPr>
      <w:rFonts w:ascii="Arial" w:hAnsi="Arial" w:eastAsia="宋体"/>
      <w:b/>
      <w:sz w:val="32"/>
    </w:rPr>
  </w:style>
  <w:style w:type="character" w:customStyle="1" w:styleId="79">
    <w:name w:val="批注主题 Char"/>
    <w:link w:val="37"/>
    <w:autoRedefine/>
    <w:qFormat/>
    <w:uiPriority w:val="0"/>
    <w:rPr>
      <w:rFonts w:eastAsia="宋体"/>
      <w:kern w:val="2"/>
      <w:sz w:val="21"/>
    </w:rPr>
  </w:style>
  <w:style w:type="character" w:customStyle="1" w:styleId="80">
    <w:name w:val="正文首行缩进 Char1"/>
    <w:basedOn w:val="58"/>
    <w:link w:val="38"/>
    <w:autoRedefine/>
    <w:qFormat/>
    <w:uiPriority w:val="99"/>
    <w:rPr>
      <w:rFonts w:eastAsia="宋体"/>
      <w:kern w:val="2"/>
      <w:sz w:val="21"/>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Char"/>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0"/>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2">
    <w:name w:val="样式2"/>
    <w:basedOn w:val="4"/>
    <w:autoRedefine/>
    <w:qFormat/>
    <w:uiPriority w:val="0"/>
    <w:pPr>
      <w:spacing w:line="415" w:lineRule="auto"/>
      <w:ind w:firstLine="137"/>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1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4" textRotate="1"/>
    <customShpInfo spid="_x0000_s4105" textRotate="1"/>
    <customShpInfo spid="_x0000_s410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12127</Words>
  <Characters>13143</Characters>
  <Lines>72</Lines>
  <Paragraphs>20</Paragraphs>
  <TotalTime>0</TotalTime>
  <ScaleCrop>false</ScaleCrop>
  <LinksUpToDate>false</LinksUpToDate>
  <CharactersWithSpaces>14353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2024-05-24T02:47:18Z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858CDD6A66EE4ADB9E8B45E91B1F22C2_13</vt:lpwstr>
  </property>
</Properties>
</file>