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360" w:lineRule="auto"/>
        <w:jc w:val="left"/>
        <w:rPr>
          <w:snapToGrid w:val="0"/>
          <w:kern w:val="0"/>
          <w:sz w:val="28"/>
          <w:szCs w:val="28"/>
        </w:rPr>
      </w:pPr>
      <w:bookmarkStart w:id="0" w:name="_Toc3465"/>
      <w:r>
        <w:rPr>
          <w:snapToGrid w:val="0"/>
          <w:kern w:val="0"/>
          <w:sz w:val="28"/>
          <w:szCs w:val="28"/>
        </w:rPr>
        <w:t>附件1：资格审查条件</w:t>
      </w:r>
      <w:bookmarkEnd w:id="0"/>
    </w:p>
    <w:p>
      <w:pPr>
        <w:adjustRightInd w:val="0"/>
        <w:snapToGrid w:val="0"/>
        <w:spacing w:line="360" w:lineRule="auto"/>
        <w:jc w:val="left"/>
        <w:rPr>
          <w:b/>
          <w:bCs/>
          <w:snapToGrid w:val="0"/>
          <w:kern w:val="0"/>
          <w:sz w:val="28"/>
          <w:szCs w:val="28"/>
        </w:rPr>
      </w:pPr>
    </w:p>
    <w:p>
      <w:pPr>
        <w:adjustRightInd w:val="0"/>
        <w:snapToGrid w:val="0"/>
        <w:spacing w:line="360" w:lineRule="auto"/>
        <w:jc w:val="center"/>
        <w:rPr>
          <w:b/>
          <w:snapToGrid w:val="0"/>
          <w:kern w:val="0"/>
          <w:sz w:val="24"/>
        </w:rPr>
      </w:pPr>
      <w:r>
        <w:rPr>
          <w:b/>
          <w:snapToGrid w:val="0"/>
          <w:kern w:val="0"/>
          <w:sz w:val="24"/>
        </w:rPr>
        <w:t>附录1  资格审查条件（资质最低要求）</w:t>
      </w:r>
    </w:p>
    <w:tbl>
      <w:tblPr>
        <w:tblStyle w:val="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2"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b/>
                <w:snapToGrid w:val="0"/>
                <w:kern w:val="0"/>
                <w:szCs w:val="21"/>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9"/>
              <w:adjustRightInd w:val="0"/>
              <w:snapToGrid w:val="0"/>
              <w:spacing w:line="0" w:lineRule="atLeast"/>
              <w:jc w:val="left"/>
              <w:rPr>
                <w:rStyle w:val="8"/>
                <w:rFonts w:ascii="Times New Roman" w:hAnsi="Times New Roman"/>
                <w:b/>
                <w:snapToGrid w:val="0"/>
                <w:color w:val="auto"/>
              </w:rPr>
            </w:pPr>
            <w:r>
              <w:rPr>
                <w:rStyle w:val="8"/>
                <w:rFonts w:hint="eastAsia" w:ascii="Times New Roman" w:hAnsi="Times New Roman"/>
                <w:b/>
                <w:snapToGrid w:val="0"/>
                <w:color w:val="auto"/>
              </w:rPr>
              <w:t>1．具有独立企业法人资格，持有有效的企业营业执照；</w:t>
            </w:r>
          </w:p>
          <w:p>
            <w:pPr>
              <w:pStyle w:val="9"/>
              <w:adjustRightInd w:val="0"/>
              <w:snapToGrid w:val="0"/>
              <w:spacing w:line="0" w:lineRule="atLeast"/>
              <w:jc w:val="left"/>
              <w:rPr>
                <w:rStyle w:val="8"/>
                <w:rFonts w:ascii="Times New Roman" w:hAnsi="Times New Roman"/>
                <w:b/>
                <w:snapToGrid w:val="0"/>
                <w:color w:val="auto"/>
              </w:rPr>
            </w:pPr>
            <w:r>
              <w:rPr>
                <w:rStyle w:val="8"/>
                <w:rFonts w:hint="eastAsia" w:ascii="Times New Roman" w:hAnsi="Times New Roman"/>
                <w:b/>
                <w:snapToGrid w:val="0"/>
                <w:color w:val="auto"/>
              </w:rPr>
              <w:t>2．具备住建行政主管部门核发的《建设工程质量检测机构资质证书》（检测范围包括：见证取样检测、建筑工程(使用功能)见证取样检测、主体结构工程检测、室内环境检测、建筑节能检测、建筑门窗检测、建筑幕墙工程检测）；</w:t>
            </w:r>
          </w:p>
          <w:p>
            <w:pPr>
              <w:pStyle w:val="9"/>
              <w:adjustRightInd w:val="0"/>
              <w:snapToGrid w:val="0"/>
              <w:spacing w:line="0" w:lineRule="atLeast"/>
              <w:jc w:val="left"/>
              <w:rPr>
                <w:rStyle w:val="8"/>
                <w:rFonts w:ascii="Times New Roman" w:hAnsi="Times New Roman"/>
                <w:b/>
                <w:strike/>
                <w:snapToGrid w:val="0"/>
                <w:color w:val="auto"/>
              </w:rPr>
            </w:pPr>
            <w:r>
              <w:rPr>
                <w:rStyle w:val="8"/>
                <w:rFonts w:hint="eastAsia" w:ascii="Times New Roman" w:hAnsi="Times New Roman"/>
                <w:b/>
                <w:snapToGrid w:val="0"/>
                <w:color w:val="auto"/>
              </w:rPr>
              <w:t>3．具备省级及以上质量监督部门核发的检验检测机构资质认定证书。</w:t>
            </w:r>
          </w:p>
        </w:tc>
      </w:tr>
    </w:tbl>
    <w:p>
      <w:pPr>
        <w:adjustRightInd w:val="0"/>
        <w:snapToGrid w:val="0"/>
        <w:spacing w:line="360" w:lineRule="auto"/>
        <w:jc w:val="center"/>
        <w:rPr>
          <w:b/>
          <w:snapToGrid w:val="0"/>
          <w:kern w:val="0"/>
          <w:sz w:val="24"/>
        </w:rPr>
      </w:pPr>
    </w:p>
    <w:p>
      <w:pPr>
        <w:adjustRightInd w:val="0"/>
        <w:snapToGrid w:val="0"/>
        <w:spacing w:line="360" w:lineRule="auto"/>
        <w:jc w:val="center"/>
        <w:rPr>
          <w:b/>
          <w:snapToGrid w:val="0"/>
          <w:kern w:val="0"/>
          <w:sz w:val="24"/>
        </w:rPr>
      </w:pPr>
      <w:r>
        <w:rPr>
          <w:b/>
          <w:snapToGrid w:val="0"/>
          <w:kern w:val="0"/>
          <w:sz w:val="24"/>
        </w:rPr>
        <w:t>附录2  资格审查条件（业绩最低要求）</w:t>
      </w:r>
    </w:p>
    <w:tbl>
      <w:tblPr>
        <w:tblStyle w:val="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2"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rFonts w:hint="eastAsia"/>
                <w:b/>
                <w:snapToGrid w:val="0"/>
                <w:kern w:val="0"/>
                <w:szCs w:val="21"/>
              </w:rPr>
              <w:t>业绩</w:t>
            </w:r>
            <w:r>
              <w:rPr>
                <w:rStyle w:val="8"/>
                <w:b/>
                <w:snapToGrid w:val="0"/>
                <w:kern w:val="0"/>
                <w:szCs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9"/>
              <w:adjustRightInd w:val="0"/>
              <w:snapToGrid w:val="0"/>
              <w:spacing w:line="0" w:lineRule="atLeast"/>
              <w:jc w:val="left"/>
              <w:rPr>
                <w:rStyle w:val="8"/>
                <w:rFonts w:ascii="Times New Roman" w:hAnsi="Times New Roman"/>
                <w:b/>
                <w:snapToGrid w:val="0"/>
                <w:color w:val="auto"/>
              </w:rPr>
            </w:pPr>
            <w:r>
              <w:rPr>
                <w:rStyle w:val="8"/>
                <w:rFonts w:hint="eastAsia" w:ascii="Times New Roman" w:hAnsi="Times New Roman"/>
                <w:b/>
                <w:snapToGrid w:val="0"/>
                <w:color w:val="auto"/>
              </w:rPr>
              <w:t>近5年内（2019年5月1日至投标截止时间，以合同签订时间为准）至少具有1项面积不小于60000㎡的公共建筑试验检测（检测内容须包含见证取样检测、使用功能检测和幕墙检测）业绩。</w:t>
            </w:r>
          </w:p>
        </w:tc>
      </w:tr>
    </w:tbl>
    <w:p>
      <w:pPr>
        <w:adjustRightInd w:val="0"/>
        <w:snapToGrid w:val="0"/>
        <w:spacing w:line="360" w:lineRule="auto"/>
        <w:jc w:val="center"/>
        <w:rPr>
          <w:b/>
          <w:snapToGrid w:val="0"/>
          <w:kern w:val="0"/>
          <w:sz w:val="24"/>
        </w:rPr>
      </w:pPr>
    </w:p>
    <w:p>
      <w:pPr>
        <w:adjustRightInd w:val="0"/>
        <w:snapToGrid w:val="0"/>
        <w:spacing w:line="360" w:lineRule="auto"/>
        <w:jc w:val="center"/>
        <w:rPr>
          <w:b/>
          <w:snapToGrid w:val="0"/>
          <w:kern w:val="0"/>
          <w:sz w:val="24"/>
        </w:rPr>
      </w:pPr>
      <w:r>
        <w:rPr>
          <w:b/>
          <w:snapToGrid w:val="0"/>
          <w:kern w:val="0"/>
          <w:sz w:val="24"/>
        </w:rPr>
        <w:t>附录3  资格审查条件（信誉最低要求）</w:t>
      </w:r>
    </w:p>
    <w:tbl>
      <w:tblPr>
        <w:tblStyle w:val="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2"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rFonts w:hint="eastAsia"/>
                <w:b/>
                <w:snapToGrid w:val="0"/>
                <w:kern w:val="0"/>
                <w:szCs w:val="21"/>
              </w:rPr>
              <w:t>信誉</w:t>
            </w:r>
            <w:r>
              <w:rPr>
                <w:rStyle w:val="8"/>
                <w:b/>
                <w:snapToGrid w:val="0"/>
                <w:kern w:val="0"/>
                <w:szCs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9"/>
              <w:adjustRightInd w:val="0"/>
              <w:snapToGrid w:val="0"/>
              <w:spacing w:line="0" w:lineRule="atLeast"/>
              <w:jc w:val="left"/>
              <w:rPr>
                <w:rStyle w:val="8"/>
                <w:rFonts w:ascii="Times New Roman" w:hAnsi="Times New Roman"/>
                <w:b/>
                <w:snapToGrid w:val="0"/>
                <w:color w:val="auto"/>
              </w:rPr>
            </w:pPr>
            <w:r>
              <w:rPr>
                <w:rStyle w:val="8"/>
                <w:rFonts w:hint="eastAsia" w:ascii="Times New Roman" w:hAnsi="Times New Roman"/>
                <w:b/>
                <w:snapToGrid w:val="0"/>
                <w:color w:val="auto"/>
              </w:rPr>
              <w:t>1. 投标人在近1年内（2023年5月1日至投标截止时间）不曾在公共建筑试验检测项目合同中违约而被驱逐或因投标人自身的原因而使合同被解除。</w:t>
            </w:r>
          </w:p>
        </w:tc>
      </w:tr>
    </w:tbl>
    <w:p>
      <w:pPr>
        <w:adjustRightInd w:val="0"/>
        <w:snapToGrid w:val="0"/>
        <w:spacing w:line="360" w:lineRule="auto"/>
        <w:jc w:val="center"/>
        <w:rPr>
          <w:b/>
          <w:snapToGrid w:val="0"/>
          <w:kern w:val="0"/>
          <w:sz w:val="24"/>
        </w:rPr>
      </w:pPr>
    </w:p>
    <w:p>
      <w:pPr>
        <w:adjustRightInd w:val="0"/>
        <w:snapToGrid w:val="0"/>
        <w:spacing w:line="360" w:lineRule="auto"/>
        <w:jc w:val="center"/>
        <w:rPr>
          <w:b/>
          <w:snapToGrid w:val="0"/>
          <w:kern w:val="0"/>
          <w:sz w:val="24"/>
        </w:rPr>
      </w:pPr>
      <w:r>
        <w:rPr>
          <w:b/>
          <w:snapToGrid w:val="0"/>
          <w:kern w:val="0"/>
          <w:sz w:val="24"/>
        </w:rPr>
        <w:t>附录4  资格审查条件（</w:t>
      </w:r>
      <w:r>
        <w:rPr>
          <w:rFonts w:hint="eastAsia"/>
          <w:b/>
          <w:snapToGrid w:val="0"/>
          <w:kern w:val="0"/>
          <w:sz w:val="24"/>
        </w:rPr>
        <w:t>项目负责人</w:t>
      </w:r>
      <w:r>
        <w:rPr>
          <w:b/>
          <w:snapToGrid w:val="0"/>
          <w:kern w:val="0"/>
          <w:sz w:val="24"/>
        </w:rPr>
        <w:t>最低要求）</w:t>
      </w:r>
    </w:p>
    <w:tbl>
      <w:tblPr>
        <w:tblStyle w:val="6"/>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332"/>
        <w:gridCol w:w="799"/>
        <w:gridCol w:w="63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2" w:hRule="atLeast"/>
        </w:trPr>
        <w:tc>
          <w:tcPr>
            <w:tcW w:w="782"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b/>
                <w:snapToGrid w:val="0"/>
                <w:kern w:val="0"/>
                <w:szCs w:val="21"/>
              </w:rPr>
              <w:t>人员</w:t>
            </w:r>
          </w:p>
        </w:tc>
        <w:tc>
          <w:tcPr>
            <w:tcW w:w="469"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b/>
                <w:snapToGrid w:val="0"/>
                <w:kern w:val="0"/>
                <w:szCs w:val="21"/>
              </w:rPr>
              <w:t>数量</w:t>
            </w:r>
          </w:p>
        </w:tc>
        <w:tc>
          <w:tcPr>
            <w:tcW w:w="374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b/>
                <w:snapToGrid w:val="0"/>
                <w:kern w:val="0"/>
                <w:szCs w:val="21"/>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2" w:hRule="atLeast"/>
        </w:trPr>
        <w:tc>
          <w:tcPr>
            <w:tcW w:w="782"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rFonts w:hint="eastAsia"/>
                <w:b/>
                <w:snapToGrid w:val="0"/>
                <w:kern w:val="0"/>
                <w:szCs w:val="21"/>
              </w:rPr>
              <w:t>项目负责人</w:t>
            </w:r>
          </w:p>
        </w:tc>
        <w:tc>
          <w:tcPr>
            <w:tcW w:w="469"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8"/>
                <w:b/>
                <w:snapToGrid w:val="0"/>
                <w:kern w:val="0"/>
                <w:szCs w:val="21"/>
              </w:rPr>
            </w:pPr>
            <w:r>
              <w:rPr>
                <w:rStyle w:val="8"/>
                <w:b/>
                <w:snapToGrid w:val="0"/>
                <w:kern w:val="0"/>
                <w:szCs w:val="21"/>
              </w:rPr>
              <w:t>1</w:t>
            </w:r>
          </w:p>
        </w:tc>
        <w:tc>
          <w:tcPr>
            <w:tcW w:w="3748"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textAlignment w:val="baseline"/>
              <w:rPr>
                <w:rStyle w:val="8"/>
                <w:b/>
                <w:snapToGrid w:val="0"/>
                <w:kern w:val="0"/>
                <w:szCs w:val="21"/>
              </w:rPr>
            </w:pPr>
            <w:r>
              <w:rPr>
                <w:rStyle w:val="8"/>
                <w:rFonts w:hint="eastAsia"/>
                <w:b/>
                <w:snapToGrid w:val="0"/>
                <w:kern w:val="0"/>
                <w:szCs w:val="21"/>
              </w:rPr>
              <w:t>高级工程师，近5年内（2019年5月1日至投标截止时间，以合同签订时间为准）至少担任过1项面积不小于60000㎡的公共建筑试验检测</w:t>
            </w:r>
            <w:r>
              <w:rPr>
                <w:rStyle w:val="8"/>
                <w:rFonts w:hint="eastAsia"/>
                <w:b/>
                <w:snapToGrid w:val="0"/>
              </w:rPr>
              <w:t>（检测内容须包含见证取样检测、使用功能检测和幕墙检测）</w:t>
            </w:r>
            <w:r>
              <w:rPr>
                <w:rStyle w:val="8"/>
                <w:rFonts w:hint="eastAsia"/>
                <w:b/>
                <w:snapToGrid w:val="0"/>
                <w:kern w:val="0"/>
                <w:szCs w:val="21"/>
              </w:rPr>
              <w:t>项目的项目负责人。</w:t>
            </w:r>
          </w:p>
        </w:tc>
      </w:tr>
    </w:tbl>
    <w:p>
      <w:pPr>
        <w:pStyle w:val="4"/>
        <w:spacing w:before="0" w:after="0" w:line="360" w:lineRule="auto"/>
        <w:rPr>
          <w:snapToGrid w:val="0"/>
          <w:kern w:val="0"/>
          <w:sz w:val="28"/>
          <w:szCs w:val="28"/>
        </w:rPr>
      </w:pPr>
      <w:bookmarkStart w:id="1" w:name="_Toc134890442"/>
      <w:bookmarkStart w:id="2" w:name="_Toc134792339"/>
      <w:bookmarkStart w:id="3" w:name="_Toc134792890"/>
      <w:bookmarkStart w:id="4" w:name="_Toc111638816"/>
      <w:bookmarkStart w:id="5" w:name="_Toc111638756"/>
      <w:r>
        <w:rPr>
          <w:rFonts w:ascii="黑体" w:hAnsi="黑体" w:eastAsia="黑体"/>
          <w:snapToGrid w:val="0"/>
          <w:kern w:val="0"/>
          <w:sz w:val="28"/>
          <w:szCs w:val="28"/>
        </w:rPr>
        <w:br w:type="page"/>
      </w:r>
      <w:bookmarkStart w:id="6" w:name="_Toc23016"/>
      <w:r>
        <w:rPr>
          <w:rFonts w:hint="eastAsia"/>
          <w:snapToGrid w:val="0"/>
          <w:kern w:val="0"/>
          <w:sz w:val="28"/>
          <w:szCs w:val="28"/>
        </w:rPr>
        <w:t>附件2：</w:t>
      </w:r>
      <w:bookmarkEnd w:id="1"/>
      <w:bookmarkEnd w:id="2"/>
      <w:bookmarkEnd w:id="3"/>
      <w:bookmarkStart w:id="7" w:name="_Toc134792891"/>
      <w:bookmarkStart w:id="8" w:name="_Toc134890443"/>
      <w:bookmarkStart w:id="9" w:name="_Toc134792340"/>
      <w:r>
        <w:rPr>
          <w:rFonts w:hint="eastAsia"/>
          <w:snapToGrid w:val="0"/>
          <w:kern w:val="0"/>
          <w:sz w:val="28"/>
          <w:szCs w:val="28"/>
        </w:rPr>
        <w:t>评标办法</w:t>
      </w:r>
      <w:bookmarkEnd w:id="6"/>
      <w:bookmarkEnd w:id="7"/>
      <w:bookmarkEnd w:id="8"/>
      <w:bookmarkEnd w:id="9"/>
    </w:p>
    <w:p>
      <w:pPr>
        <w:adjustRightInd w:val="0"/>
        <w:snapToGrid w:val="0"/>
        <w:spacing w:line="360" w:lineRule="auto"/>
        <w:jc w:val="center"/>
        <w:textAlignment w:val="baseline"/>
        <w:rPr>
          <w:rFonts w:ascii="宋体" w:hAnsi="宋体"/>
          <w:b/>
          <w:bCs/>
          <w:snapToGrid w:val="0"/>
          <w:kern w:val="0"/>
          <w:sz w:val="24"/>
        </w:rPr>
      </w:pPr>
      <w:bookmarkStart w:id="10" w:name="_Toc134792409"/>
      <w:bookmarkStart w:id="11" w:name="_Toc134890444"/>
      <w:bookmarkStart w:id="12" w:name="_Toc134792341"/>
      <w:bookmarkStart w:id="13" w:name="_Toc509660966"/>
      <w:bookmarkStart w:id="14" w:name="_Toc531949857"/>
      <w:bookmarkStart w:id="15" w:name="_Toc134890522"/>
      <w:bookmarkStart w:id="16" w:name="_Toc502992691"/>
      <w:bookmarkStart w:id="17" w:name="_Toc509659998"/>
      <w:bookmarkStart w:id="18" w:name="_Toc459307890"/>
      <w:bookmarkStart w:id="19" w:name="_Toc134792892"/>
      <w:bookmarkStart w:id="20" w:name="_Toc450319202"/>
      <w:bookmarkStart w:id="21" w:name="_Toc445382083"/>
      <w:bookmarkStart w:id="22" w:name="_Toc444088432"/>
      <w:bookmarkStart w:id="23" w:name="_Toc445222503"/>
      <w:bookmarkStart w:id="24" w:name="_Toc444271617"/>
      <w:r>
        <w:rPr>
          <w:rFonts w:hint="eastAsia" w:ascii="宋体" w:hAnsi="宋体"/>
          <w:b/>
          <w:bCs/>
          <w:snapToGrid w:val="0"/>
          <w:kern w:val="0"/>
          <w:sz w:val="24"/>
        </w:rPr>
        <w:t>评标办法（综合评估法）</w:t>
      </w:r>
      <w:bookmarkEnd w:id="10"/>
      <w:bookmarkEnd w:id="11"/>
      <w:bookmarkEnd w:id="12"/>
      <w:bookmarkEnd w:id="13"/>
      <w:bookmarkEnd w:id="14"/>
      <w:bookmarkEnd w:id="15"/>
      <w:bookmarkEnd w:id="16"/>
      <w:bookmarkEnd w:id="17"/>
      <w:bookmarkEnd w:id="18"/>
      <w:bookmarkEnd w:id="19"/>
      <w:bookmarkEnd w:id="20"/>
    </w:p>
    <w:p>
      <w:pPr>
        <w:adjustRightInd w:val="0"/>
        <w:snapToGrid w:val="0"/>
        <w:spacing w:line="360" w:lineRule="auto"/>
        <w:jc w:val="center"/>
        <w:textAlignment w:val="baseline"/>
        <w:rPr>
          <w:rFonts w:ascii="宋体" w:hAnsi="宋体"/>
          <w:b/>
          <w:bCs/>
          <w:snapToGrid w:val="0"/>
          <w:kern w:val="0"/>
          <w:sz w:val="24"/>
        </w:rPr>
      </w:pPr>
      <w:bookmarkStart w:id="25" w:name="_Toc531949858"/>
      <w:bookmarkStart w:id="26" w:name="_Toc134792893"/>
      <w:bookmarkStart w:id="27" w:name="_Toc134890523"/>
      <w:bookmarkStart w:id="28" w:name="_Toc134792342"/>
      <w:bookmarkStart w:id="29" w:name="_Toc134792410"/>
      <w:bookmarkStart w:id="30" w:name="_Toc134890445"/>
      <w:r>
        <w:rPr>
          <w:rFonts w:hint="eastAsia" w:ascii="宋体" w:hAnsi="宋体"/>
          <w:b/>
          <w:bCs/>
          <w:snapToGrid w:val="0"/>
          <w:kern w:val="0"/>
          <w:sz w:val="24"/>
        </w:rPr>
        <w:t>评标办法前附表</w:t>
      </w:r>
      <w:bookmarkEnd w:id="4"/>
      <w:bookmarkEnd w:id="5"/>
      <w:bookmarkEnd w:id="21"/>
      <w:bookmarkEnd w:id="22"/>
      <w:bookmarkEnd w:id="23"/>
      <w:bookmarkEnd w:id="24"/>
      <w:bookmarkEnd w:id="25"/>
      <w:bookmarkEnd w:id="26"/>
      <w:bookmarkEnd w:id="27"/>
      <w:bookmarkEnd w:id="28"/>
      <w:bookmarkEnd w:id="29"/>
      <w:bookmarkEnd w:id="30"/>
    </w:p>
    <w:tbl>
      <w:tblPr>
        <w:tblStyle w:val="6"/>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条款名称</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评标办法</w:t>
            </w:r>
          </w:p>
        </w:tc>
        <w:tc>
          <w:tcPr>
            <w:tcW w:w="737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本次评标采用综合评估法，评标委员会对满足招标文件实质性要求的投标文件，按照本章第2.2款规定的评分标准进行打分，并按综合得分由高到低顺序推荐1-3名中标候选人。当综合评分相等时，评标委员会依次按照以下优先顺序推荐中标候选人：</w:t>
            </w:r>
          </w:p>
          <w:p>
            <w:pPr>
              <w:rPr>
                <w:rFonts w:ascii="宋体" w:hAnsi="宋体"/>
              </w:rPr>
            </w:pPr>
            <w:r>
              <w:rPr>
                <w:rFonts w:hint="eastAsia" w:ascii="宋体" w:hAnsi="宋体"/>
              </w:rPr>
              <w:t>（1）评标价低的投标人优先；</w:t>
            </w:r>
          </w:p>
          <w:p>
            <w:pPr>
              <w:rPr>
                <w:rFonts w:ascii="宋体" w:hAnsi="宋体"/>
              </w:rPr>
            </w:pPr>
            <w:r>
              <w:rPr>
                <w:rFonts w:hint="eastAsia" w:ascii="宋体" w:hAnsi="宋体"/>
              </w:rPr>
              <w:t>（2）技术建议书得分较高的投标人优先；</w:t>
            </w:r>
          </w:p>
          <w:p>
            <w:pPr>
              <w:rPr>
                <w:rFonts w:ascii="宋体" w:hAnsi="宋体"/>
              </w:rPr>
            </w:pPr>
            <w:r>
              <w:rPr>
                <w:rFonts w:hint="eastAsia" w:ascii="宋体" w:hAnsi="宋体"/>
              </w:rPr>
              <w:t>（3）满足资格审查条件（业绩最低要求）的业绩累计合同金额高的优先。</w:t>
            </w:r>
          </w:p>
          <w:p>
            <w:pPr>
              <w:rPr>
                <w:rFonts w:ascii="宋体" w:hAnsi="宋体"/>
                <w:b/>
                <w:bCs/>
              </w:rPr>
            </w:pPr>
            <w:r>
              <w:rPr>
                <w:rFonts w:hint="eastAsia" w:ascii="宋体" w:hAnsi="宋体"/>
                <w:b/>
                <w:bCs/>
              </w:rPr>
              <w:t>注：</w:t>
            </w:r>
            <w:r>
              <w:rPr>
                <w:rFonts w:hint="eastAsia" w:ascii="宋体" w:hAnsi="宋体"/>
              </w:rPr>
              <w:t>与融投商务中心(后续工程)的监理和加固工程的中标人及其有隶属关系的或者其他利害关系的单位不再被推荐为本项目的中标候选人。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2.1.1</w:t>
            </w:r>
          </w:p>
          <w:p>
            <w:pPr>
              <w:adjustRightInd w:val="0"/>
              <w:snapToGrid w:val="0"/>
              <w:spacing w:line="0" w:lineRule="atLeast"/>
              <w:jc w:val="center"/>
              <w:textAlignment w:val="baseline"/>
              <w:rPr>
                <w:snapToGrid w:val="0"/>
                <w:kern w:val="0"/>
                <w:szCs w:val="21"/>
              </w:rPr>
            </w:pPr>
            <w:r>
              <w:rPr>
                <w:snapToGrid w:val="0"/>
                <w:kern w:val="0"/>
                <w:szCs w:val="21"/>
              </w:rPr>
              <w:t>2.1.3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形式评审与响应性评审标准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b/>
                <w:bCs/>
                <w:snapToGrid w:val="0"/>
                <w:kern w:val="0"/>
                <w:szCs w:val="21"/>
              </w:rPr>
            </w:pPr>
            <w:r>
              <w:rPr>
                <w:b/>
                <w:bCs/>
                <w:snapToGrid w:val="0"/>
                <w:kern w:val="0"/>
                <w:szCs w:val="21"/>
              </w:rPr>
              <w:t>第一个信封（商务和技术文件）评审标准：</w:t>
            </w:r>
          </w:p>
          <w:p>
            <w:pPr>
              <w:adjustRightInd w:val="0"/>
              <w:snapToGrid w:val="0"/>
              <w:spacing w:line="0" w:lineRule="atLeast"/>
              <w:textAlignment w:val="baseline"/>
              <w:rPr>
                <w:snapToGrid w:val="0"/>
                <w:kern w:val="0"/>
                <w:szCs w:val="21"/>
              </w:rPr>
            </w:pPr>
            <w:r>
              <w:rPr>
                <w:rFonts w:hint="eastAsia"/>
                <w:snapToGrid w:val="0"/>
                <w:kern w:val="0"/>
                <w:szCs w:val="21"/>
              </w:rPr>
              <w:t>（1）投标文件按照招标文件规定的格式、内容填写，字迹清晰可辨：</w:t>
            </w:r>
          </w:p>
          <w:p>
            <w:pPr>
              <w:adjustRightInd w:val="0"/>
              <w:snapToGrid w:val="0"/>
              <w:spacing w:line="0" w:lineRule="atLeast"/>
              <w:textAlignment w:val="baseline"/>
              <w:rPr>
                <w:snapToGrid w:val="0"/>
                <w:kern w:val="0"/>
                <w:szCs w:val="21"/>
              </w:rPr>
            </w:pPr>
            <w:r>
              <w:rPr>
                <w:rFonts w:hint="eastAsia"/>
                <w:snapToGrid w:val="0"/>
                <w:kern w:val="0"/>
                <w:szCs w:val="21"/>
              </w:rPr>
              <w:t>a. 投标函按招标文件规定填报了补遗书编号（如有）、项目负责人，未对项目名称、质量要求、安全目标、服务期限进行修改；</w:t>
            </w:r>
          </w:p>
          <w:p>
            <w:pPr>
              <w:adjustRightInd w:val="0"/>
              <w:snapToGrid w:val="0"/>
              <w:spacing w:line="0" w:lineRule="atLeast"/>
              <w:textAlignment w:val="baseline"/>
              <w:rPr>
                <w:snapToGrid w:val="0"/>
                <w:kern w:val="0"/>
                <w:szCs w:val="21"/>
              </w:rPr>
            </w:pPr>
            <w:r>
              <w:rPr>
                <w:rFonts w:hint="eastAsia"/>
                <w:snapToGrid w:val="0"/>
                <w:kern w:val="0"/>
                <w:szCs w:val="21"/>
              </w:rPr>
              <w:t>b. 投标文件组成齐全完整，内容均按规定填写。</w:t>
            </w:r>
          </w:p>
          <w:p>
            <w:pPr>
              <w:adjustRightInd w:val="0"/>
              <w:snapToGrid w:val="0"/>
              <w:spacing w:line="0" w:lineRule="atLeast"/>
              <w:textAlignment w:val="baseline"/>
              <w:rPr>
                <w:snapToGrid w:val="0"/>
                <w:kern w:val="0"/>
                <w:szCs w:val="21"/>
              </w:rPr>
            </w:pPr>
            <w:r>
              <w:rPr>
                <w:rFonts w:hint="eastAsia"/>
                <w:snapToGrid w:val="0"/>
                <w:kern w:val="0"/>
                <w:szCs w:val="21"/>
              </w:rPr>
              <w:t>（2）投标文件上法定代表人或其授权代理人的签字、投标人的单位章盖章齐全，符合招标文件规定。</w:t>
            </w:r>
          </w:p>
          <w:p>
            <w:pPr>
              <w:adjustRightInd w:val="0"/>
              <w:snapToGrid w:val="0"/>
              <w:spacing w:line="0" w:lineRule="atLeast"/>
              <w:textAlignment w:val="baseline"/>
              <w:rPr>
                <w:snapToGrid w:val="0"/>
                <w:kern w:val="0"/>
                <w:szCs w:val="21"/>
              </w:rPr>
            </w:pPr>
            <w:r>
              <w:rPr>
                <w:rFonts w:hint="eastAsia"/>
                <w:snapToGrid w:val="0"/>
                <w:kern w:val="0"/>
                <w:szCs w:val="21"/>
              </w:rPr>
              <w:t>（3）投标人按照招标文件第二章投标人须知前附表3.4.1的规定提供了投标保证金。</w:t>
            </w:r>
          </w:p>
          <w:p>
            <w:pPr>
              <w:adjustRightInd w:val="0"/>
              <w:snapToGrid w:val="0"/>
              <w:spacing w:line="0" w:lineRule="atLeast"/>
              <w:textAlignment w:val="baseline"/>
              <w:rPr>
                <w:snapToGrid w:val="0"/>
                <w:kern w:val="0"/>
                <w:szCs w:val="21"/>
              </w:rPr>
            </w:pPr>
            <w:r>
              <w:rPr>
                <w:rFonts w:hint="eastAsia"/>
                <w:snapToGrid w:val="0"/>
                <w:kern w:val="0"/>
                <w:szCs w:val="21"/>
              </w:rPr>
              <w:t>（4）投标人法定代表人授权委托代理人签署投标文件的，须提交授权委托书，符合招标文件规定。</w:t>
            </w:r>
          </w:p>
          <w:p>
            <w:pPr>
              <w:adjustRightInd w:val="0"/>
              <w:snapToGrid w:val="0"/>
              <w:spacing w:line="0" w:lineRule="atLeast"/>
              <w:textAlignment w:val="baseline"/>
              <w:rPr>
                <w:snapToGrid w:val="0"/>
                <w:kern w:val="0"/>
                <w:szCs w:val="21"/>
              </w:rPr>
            </w:pPr>
            <w:r>
              <w:rPr>
                <w:rFonts w:hint="eastAsia"/>
                <w:snapToGrid w:val="0"/>
                <w:kern w:val="0"/>
                <w:szCs w:val="21"/>
              </w:rPr>
              <w:t>（5）投标人法定代表人亲自签署投标文件的，提供了法定代表人身份证明，并符合招标文件的规定。</w:t>
            </w:r>
          </w:p>
          <w:p>
            <w:pPr>
              <w:adjustRightInd w:val="0"/>
              <w:snapToGrid w:val="0"/>
              <w:spacing w:line="0" w:lineRule="atLeast"/>
              <w:textAlignment w:val="baseline"/>
              <w:rPr>
                <w:snapToGrid w:val="0"/>
                <w:kern w:val="0"/>
                <w:szCs w:val="21"/>
              </w:rPr>
            </w:pPr>
            <w:r>
              <w:rPr>
                <w:rFonts w:hint="eastAsia"/>
                <w:snapToGrid w:val="0"/>
                <w:kern w:val="0"/>
                <w:szCs w:val="21"/>
              </w:rPr>
              <w:t>（6）投标人未以联合体形式投标。</w:t>
            </w:r>
          </w:p>
          <w:p>
            <w:pPr>
              <w:adjustRightInd w:val="0"/>
              <w:snapToGrid w:val="0"/>
              <w:spacing w:line="0" w:lineRule="atLeast"/>
              <w:textAlignment w:val="baseline"/>
              <w:rPr>
                <w:snapToGrid w:val="0"/>
                <w:kern w:val="0"/>
                <w:szCs w:val="21"/>
              </w:rPr>
            </w:pPr>
            <w:r>
              <w:rPr>
                <w:rFonts w:hint="eastAsia"/>
                <w:snapToGrid w:val="0"/>
                <w:kern w:val="0"/>
                <w:szCs w:val="21"/>
              </w:rPr>
              <w:t>（7）投标人未提出分包计划。</w:t>
            </w:r>
          </w:p>
          <w:p>
            <w:pPr>
              <w:adjustRightInd w:val="0"/>
              <w:snapToGrid w:val="0"/>
              <w:spacing w:line="0" w:lineRule="atLeast"/>
              <w:textAlignment w:val="baseline"/>
              <w:rPr>
                <w:snapToGrid w:val="0"/>
                <w:kern w:val="0"/>
                <w:szCs w:val="21"/>
              </w:rPr>
            </w:pPr>
            <w:r>
              <w:rPr>
                <w:rFonts w:hint="eastAsia"/>
                <w:snapToGrid w:val="0"/>
                <w:kern w:val="0"/>
                <w:szCs w:val="21"/>
              </w:rPr>
              <w:t>（8）同一投标人未提交两个以上不同的投标文件。</w:t>
            </w:r>
          </w:p>
          <w:p>
            <w:pPr>
              <w:adjustRightInd w:val="0"/>
              <w:snapToGrid w:val="0"/>
              <w:spacing w:line="0" w:lineRule="atLeast"/>
              <w:textAlignment w:val="baseline"/>
              <w:rPr>
                <w:snapToGrid w:val="0"/>
                <w:kern w:val="0"/>
                <w:szCs w:val="21"/>
              </w:rPr>
            </w:pPr>
            <w:r>
              <w:rPr>
                <w:rFonts w:hint="eastAsia"/>
                <w:snapToGrid w:val="0"/>
                <w:kern w:val="0"/>
                <w:szCs w:val="21"/>
              </w:rPr>
              <w:t>（9）投标文件中未出现有关投标报价的内容。</w:t>
            </w:r>
          </w:p>
          <w:p>
            <w:pPr>
              <w:adjustRightInd w:val="0"/>
              <w:snapToGrid w:val="0"/>
              <w:spacing w:line="0" w:lineRule="atLeast"/>
              <w:textAlignment w:val="baseline"/>
              <w:rPr>
                <w:snapToGrid w:val="0"/>
                <w:kern w:val="0"/>
                <w:szCs w:val="21"/>
              </w:rPr>
            </w:pPr>
            <w:r>
              <w:rPr>
                <w:rFonts w:hint="eastAsia"/>
                <w:snapToGrid w:val="0"/>
                <w:kern w:val="0"/>
                <w:szCs w:val="21"/>
              </w:rPr>
              <w:t>（10）投标文件载明的招标项目完成期限未超过招标文件规定。</w:t>
            </w:r>
          </w:p>
          <w:p>
            <w:pPr>
              <w:adjustRightInd w:val="0"/>
              <w:snapToGrid w:val="0"/>
              <w:spacing w:line="0" w:lineRule="atLeast"/>
              <w:textAlignment w:val="baseline"/>
              <w:rPr>
                <w:snapToGrid w:val="0"/>
                <w:kern w:val="0"/>
                <w:szCs w:val="21"/>
              </w:rPr>
            </w:pPr>
            <w:r>
              <w:rPr>
                <w:rFonts w:hint="eastAsia"/>
                <w:snapToGrid w:val="0"/>
                <w:kern w:val="0"/>
                <w:szCs w:val="21"/>
              </w:rPr>
              <w:t>（11）投标文件对招标文件的实质性要求和条件做出响应。</w:t>
            </w:r>
          </w:p>
          <w:p>
            <w:pPr>
              <w:adjustRightInd w:val="0"/>
              <w:snapToGrid w:val="0"/>
              <w:spacing w:line="0" w:lineRule="atLeast"/>
              <w:textAlignment w:val="baseline"/>
              <w:rPr>
                <w:snapToGrid w:val="0"/>
                <w:kern w:val="0"/>
                <w:szCs w:val="21"/>
              </w:rPr>
            </w:pPr>
            <w:r>
              <w:rPr>
                <w:rFonts w:hint="eastAsia"/>
                <w:snapToGrid w:val="0"/>
                <w:kern w:val="0"/>
                <w:szCs w:val="21"/>
              </w:rPr>
              <w:t>（12）权利义务符合招标文件规定：</w:t>
            </w:r>
          </w:p>
          <w:p>
            <w:pPr>
              <w:adjustRightInd w:val="0"/>
              <w:snapToGrid w:val="0"/>
              <w:spacing w:line="0" w:lineRule="atLeast"/>
              <w:textAlignment w:val="baseline"/>
              <w:rPr>
                <w:snapToGrid w:val="0"/>
                <w:kern w:val="0"/>
                <w:szCs w:val="21"/>
              </w:rPr>
            </w:pPr>
            <w:r>
              <w:rPr>
                <w:rFonts w:hint="eastAsia"/>
                <w:snapToGrid w:val="0"/>
                <w:kern w:val="0"/>
                <w:szCs w:val="21"/>
              </w:rPr>
              <w:t>a. 投标人应接受招标文件规定的风险划分原则，未提出新的风险划分办法；</w:t>
            </w:r>
          </w:p>
          <w:p>
            <w:pPr>
              <w:adjustRightInd w:val="0"/>
              <w:snapToGrid w:val="0"/>
              <w:spacing w:line="0" w:lineRule="atLeast"/>
              <w:textAlignment w:val="baseline"/>
              <w:rPr>
                <w:snapToGrid w:val="0"/>
                <w:kern w:val="0"/>
                <w:szCs w:val="21"/>
              </w:rPr>
            </w:pPr>
            <w:r>
              <w:rPr>
                <w:rFonts w:hint="eastAsia"/>
                <w:snapToGrid w:val="0"/>
                <w:kern w:val="0"/>
                <w:szCs w:val="21"/>
              </w:rPr>
              <w:t>b. 投标人未增加发包人的责任范围，或减少投标人义务；</w:t>
            </w:r>
          </w:p>
          <w:p>
            <w:pPr>
              <w:adjustRightInd w:val="0"/>
              <w:snapToGrid w:val="0"/>
              <w:spacing w:line="0" w:lineRule="atLeast"/>
              <w:textAlignment w:val="baseline"/>
              <w:rPr>
                <w:snapToGrid w:val="0"/>
                <w:kern w:val="0"/>
                <w:szCs w:val="21"/>
              </w:rPr>
            </w:pPr>
            <w:r>
              <w:rPr>
                <w:rFonts w:hint="eastAsia"/>
                <w:snapToGrid w:val="0"/>
                <w:kern w:val="0"/>
                <w:szCs w:val="21"/>
              </w:rPr>
              <w:t>c. 投标人未提出不同的支付办法；</w:t>
            </w:r>
          </w:p>
          <w:p>
            <w:pPr>
              <w:adjustRightInd w:val="0"/>
              <w:snapToGrid w:val="0"/>
              <w:spacing w:line="0" w:lineRule="atLeast"/>
              <w:textAlignment w:val="baseline"/>
              <w:rPr>
                <w:snapToGrid w:val="0"/>
                <w:kern w:val="0"/>
                <w:szCs w:val="21"/>
              </w:rPr>
            </w:pPr>
            <w:r>
              <w:rPr>
                <w:rFonts w:hint="eastAsia"/>
                <w:snapToGrid w:val="0"/>
                <w:kern w:val="0"/>
                <w:szCs w:val="21"/>
              </w:rPr>
              <w:t>d. 投标人对合同纠纷、事故处理办法未提出异议；</w:t>
            </w:r>
          </w:p>
          <w:p>
            <w:pPr>
              <w:adjustRightInd w:val="0"/>
              <w:snapToGrid w:val="0"/>
              <w:spacing w:line="0" w:lineRule="atLeast"/>
              <w:textAlignment w:val="baseline"/>
              <w:rPr>
                <w:snapToGrid w:val="0"/>
                <w:kern w:val="0"/>
                <w:szCs w:val="21"/>
              </w:rPr>
            </w:pPr>
            <w:r>
              <w:rPr>
                <w:rFonts w:hint="eastAsia"/>
                <w:snapToGrid w:val="0"/>
                <w:kern w:val="0"/>
                <w:szCs w:val="21"/>
              </w:rPr>
              <w:t>e. 投标人在投标活动中无欺诈行为；</w:t>
            </w:r>
          </w:p>
          <w:p>
            <w:pPr>
              <w:adjustRightInd w:val="0"/>
              <w:snapToGrid w:val="0"/>
              <w:spacing w:line="0" w:lineRule="atLeast"/>
              <w:textAlignment w:val="baseline"/>
              <w:rPr>
                <w:snapToGrid w:val="0"/>
                <w:kern w:val="0"/>
                <w:szCs w:val="21"/>
              </w:rPr>
            </w:pPr>
            <w:r>
              <w:rPr>
                <w:rFonts w:hint="eastAsia"/>
                <w:snapToGrid w:val="0"/>
                <w:kern w:val="0"/>
                <w:szCs w:val="21"/>
              </w:rPr>
              <w:t>f. 投标人未对合同条款有重要保留。</w:t>
            </w:r>
          </w:p>
          <w:p>
            <w:pPr>
              <w:adjustRightInd w:val="0"/>
              <w:snapToGrid w:val="0"/>
              <w:spacing w:line="0" w:lineRule="atLeast"/>
              <w:textAlignment w:val="baseline"/>
              <w:rPr>
                <w:b/>
                <w:bCs/>
                <w:snapToGrid w:val="0"/>
                <w:kern w:val="0"/>
                <w:szCs w:val="21"/>
              </w:rPr>
            </w:pPr>
            <w:r>
              <w:rPr>
                <w:b/>
                <w:bCs/>
                <w:snapToGrid w:val="0"/>
                <w:kern w:val="0"/>
                <w:szCs w:val="21"/>
              </w:rPr>
              <w:t>第二个信封（报价文件）评审标准：</w:t>
            </w:r>
          </w:p>
          <w:p>
            <w:pPr>
              <w:adjustRightInd w:val="0"/>
              <w:snapToGrid w:val="0"/>
              <w:spacing w:line="0" w:lineRule="atLeast"/>
              <w:textAlignment w:val="baseline"/>
              <w:rPr>
                <w:snapToGrid w:val="0"/>
                <w:kern w:val="0"/>
                <w:szCs w:val="21"/>
              </w:rPr>
            </w:pPr>
            <w:r>
              <w:rPr>
                <w:rFonts w:hint="eastAsia"/>
                <w:snapToGrid w:val="0"/>
                <w:kern w:val="0"/>
                <w:szCs w:val="21"/>
              </w:rPr>
              <w:t>（1）投标文件按照招标文件规定的格式、内容填写，字迹清晰可辨，内容齐全完整。</w:t>
            </w:r>
          </w:p>
          <w:p>
            <w:pPr>
              <w:adjustRightInd w:val="0"/>
              <w:snapToGrid w:val="0"/>
              <w:spacing w:line="0" w:lineRule="atLeast"/>
              <w:textAlignment w:val="baseline"/>
              <w:rPr>
                <w:snapToGrid w:val="0"/>
                <w:kern w:val="0"/>
                <w:szCs w:val="21"/>
              </w:rPr>
            </w:pPr>
            <w:r>
              <w:rPr>
                <w:rFonts w:hint="eastAsia"/>
                <w:snapToGrid w:val="0"/>
                <w:kern w:val="0"/>
                <w:szCs w:val="21"/>
              </w:rPr>
              <w:t>a. 投标函按招标文件规定填报了补遗书编号（如有）、投标价（包括大写金额和小写金额），未对项目名称进行修改；</w:t>
            </w:r>
          </w:p>
          <w:p>
            <w:pPr>
              <w:adjustRightInd w:val="0"/>
              <w:snapToGrid w:val="0"/>
              <w:spacing w:line="0" w:lineRule="atLeast"/>
              <w:textAlignment w:val="baseline"/>
              <w:rPr>
                <w:snapToGrid w:val="0"/>
                <w:kern w:val="0"/>
                <w:szCs w:val="21"/>
              </w:rPr>
            </w:pPr>
            <w:r>
              <w:rPr>
                <w:rFonts w:hint="eastAsia"/>
                <w:snapToGrid w:val="0"/>
                <w:kern w:val="0"/>
                <w:szCs w:val="21"/>
              </w:rPr>
              <w:t>b. 投标文件组成齐全完整，内容均按规定填写。</w:t>
            </w:r>
          </w:p>
          <w:p>
            <w:pPr>
              <w:adjustRightInd w:val="0"/>
              <w:snapToGrid w:val="0"/>
              <w:spacing w:line="0" w:lineRule="atLeast"/>
              <w:textAlignment w:val="baseline"/>
              <w:rPr>
                <w:snapToGrid w:val="0"/>
                <w:kern w:val="0"/>
                <w:szCs w:val="21"/>
              </w:rPr>
            </w:pPr>
            <w:r>
              <w:rPr>
                <w:rFonts w:hint="eastAsia"/>
                <w:snapToGrid w:val="0"/>
                <w:kern w:val="0"/>
                <w:szCs w:val="21"/>
              </w:rPr>
              <w:t>（2）投标文件上法定代表人或其授权代理人的签字、投标人的单位章盖章齐全，符合招标文件规定。</w:t>
            </w:r>
          </w:p>
          <w:p>
            <w:pPr>
              <w:adjustRightInd w:val="0"/>
              <w:snapToGrid w:val="0"/>
              <w:spacing w:line="0" w:lineRule="atLeast"/>
              <w:textAlignment w:val="baseline"/>
              <w:rPr>
                <w:snapToGrid w:val="0"/>
                <w:kern w:val="0"/>
                <w:szCs w:val="21"/>
              </w:rPr>
            </w:pPr>
            <w:r>
              <w:rPr>
                <w:rFonts w:hint="eastAsia"/>
                <w:snapToGrid w:val="0"/>
                <w:kern w:val="0"/>
                <w:szCs w:val="21"/>
              </w:rPr>
              <w:t>（3）投标报价未超过招标文件设定的最高投标限价。</w:t>
            </w:r>
          </w:p>
          <w:p>
            <w:pPr>
              <w:adjustRightInd w:val="0"/>
              <w:snapToGrid w:val="0"/>
              <w:spacing w:line="0" w:lineRule="atLeast"/>
              <w:textAlignment w:val="baseline"/>
              <w:rPr>
                <w:snapToGrid w:val="0"/>
                <w:kern w:val="0"/>
                <w:szCs w:val="21"/>
              </w:rPr>
            </w:pPr>
            <w:r>
              <w:rPr>
                <w:rFonts w:hint="eastAsia"/>
                <w:snapToGrid w:val="0"/>
                <w:kern w:val="0"/>
                <w:szCs w:val="21"/>
              </w:rPr>
              <w:t>（4）投标报价大写金额能够确定具体数值。</w:t>
            </w:r>
          </w:p>
          <w:p>
            <w:pPr>
              <w:adjustRightInd w:val="0"/>
              <w:snapToGrid w:val="0"/>
              <w:spacing w:line="0" w:lineRule="atLeast"/>
              <w:textAlignment w:val="baseline"/>
              <w:rPr>
                <w:snapToGrid w:val="0"/>
                <w:kern w:val="0"/>
                <w:szCs w:val="21"/>
              </w:rPr>
            </w:pPr>
            <w:r>
              <w:rPr>
                <w:rFonts w:hint="eastAsia"/>
                <w:snapToGrid w:val="0"/>
                <w:kern w:val="0"/>
                <w:szCs w:val="21"/>
              </w:rPr>
              <w:t>（5）投标人未提交两个以上不同的投标报价。</w:t>
            </w:r>
          </w:p>
          <w:p>
            <w:pPr>
              <w:adjustRightInd w:val="0"/>
              <w:snapToGrid w:val="0"/>
              <w:spacing w:line="0" w:lineRule="atLeast"/>
              <w:textAlignment w:val="baseline"/>
            </w:pPr>
            <w:r>
              <w:rPr>
                <w:rFonts w:hint="eastAsia"/>
                <w:snapToGrid w:val="0"/>
                <w:kern w:val="0"/>
                <w:szCs w:val="21"/>
              </w:rPr>
              <w:t>（6）报价清单中的投标报价和投标函大写金额报价一致。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2.1.2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资格评审标准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snapToGrid w:val="0"/>
                <w:kern w:val="0"/>
                <w:szCs w:val="21"/>
              </w:rPr>
            </w:pPr>
            <w:r>
              <w:rPr>
                <w:snapToGrid w:val="0"/>
                <w:kern w:val="0"/>
                <w:szCs w:val="21"/>
              </w:rPr>
              <w:t>（1）投标人具备有效的营业执照、资质证书和基本账户开户许可证（或基本存款账户信息）</w:t>
            </w:r>
            <w:r>
              <w:rPr>
                <w:rFonts w:hint="eastAsia"/>
                <w:snapToGrid w:val="0"/>
                <w:kern w:val="0"/>
                <w:szCs w:val="21"/>
              </w:rPr>
              <w:t>。</w:t>
            </w:r>
          </w:p>
          <w:p>
            <w:pPr>
              <w:adjustRightInd w:val="0"/>
              <w:snapToGrid w:val="0"/>
              <w:spacing w:line="0" w:lineRule="atLeast"/>
              <w:textAlignment w:val="baseline"/>
              <w:rPr>
                <w:snapToGrid w:val="0"/>
                <w:kern w:val="0"/>
                <w:szCs w:val="21"/>
              </w:rPr>
            </w:pPr>
            <w:r>
              <w:rPr>
                <w:snapToGrid w:val="0"/>
                <w:kern w:val="0"/>
                <w:szCs w:val="21"/>
              </w:rPr>
              <w:t>（2）投标人的资质等级符合招标文件规定。</w:t>
            </w:r>
          </w:p>
          <w:p>
            <w:pPr>
              <w:adjustRightInd w:val="0"/>
              <w:snapToGrid w:val="0"/>
              <w:spacing w:line="0" w:lineRule="atLeast"/>
              <w:textAlignment w:val="baseline"/>
              <w:rPr>
                <w:snapToGrid w:val="0"/>
                <w:kern w:val="0"/>
                <w:szCs w:val="21"/>
              </w:rPr>
            </w:pPr>
            <w:r>
              <w:rPr>
                <w:snapToGrid w:val="0"/>
                <w:kern w:val="0"/>
                <w:szCs w:val="21"/>
              </w:rPr>
              <w:t>（3）投标人的类似项目业绩符合招标文件的规定。</w:t>
            </w:r>
          </w:p>
          <w:p>
            <w:pPr>
              <w:adjustRightInd w:val="0"/>
              <w:snapToGrid w:val="0"/>
              <w:spacing w:line="0" w:lineRule="atLeast"/>
              <w:textAlignment w:val="baseline"/>
              <w:rPr>
                <w:snapToGrid w:val="0"/>
                <w:kern w:val="0"/>
                <w:szCs w:val="21"/>
              </w:rPr>
            </w:pPr>
            <w:r>
              <w:rPr>
                <w:snapToGrid w:val="0"/>
                <w:kern w:val="0"/>
                <w:szCs w:val="21"/>
              </w:rPr>
              <w:t>（4）投标人的信誉符合招标文件规定。</w:t>
            </w:r>
          </w:p>
          <w:p>
            <w:pPr>
              <w:adjustRightInd w:val="0"/>
              <w:snapToGrid w:val="0"/>
              <w:spacing w:line="0" w:lineRule="atLeast"/>
              <w:textAlignment w:val="baseline"/>
              <w:rPr>
                <w:snapToGrid w:val="0"/>
                <w:kern w:val="0"/>
                <w:szCs w:val="21"/>
              </w:rPr>
            </w:pPr>
            <w:r>
              <w:rPr>
                <w:snapToGrid w:val="0"/>
                <w:kern w:val="0"/>
                <w:szCs w:val="21"/>
              </w:rPr>
              <w:t>（5）投标人的</w:t>
            </w:r>
            <w:r>
              <w:rPr>
                <w:rFonts w:hint="eastAsia"/>
                <w:snapToGrid w:val="0"/>
                <w:kern w:val="0"/>
                <w:szCs w:val="21"/>
              </w:rPr>
              <w:t>项目负责人</w:t>
            </w:r>
            <w:r>
              <w:rPr>
                <w:snapToGrid w:val="0"/>
                <w:kern w:val="0"/>
                <w:szCs w:val="21"/>
              </w:rPr>
              <w:t>资格符合招标文件规定。</w:t>
            </w:r>
          </w:p>
          <w:p>
            <w:pPr>
              <w:adjustRightInd w:val="0"/>
              <w:snapToGrid w:val="0"/>
              <w:spacing w:line="0" w:lineRule="atLeast"/>
              <w:textAlignment w:val="baseline"/>
              <w:rPr>
                <w:snapToGrid w:val="0"/>
                <w:kern w:val="0"/>
                <w:szCs w:val="21"/>
              </w:rPr>
            </w:pPr>
            <w:r>
              <w:rPr>
                <w:snapToGrid w:val="0"/>
                <w:kern w:val="0"/>
                <w:szCs w:val="21"/>
              </w:rPr>
              <w:t>（</w:t>
            </w:r>
            <w:r>
              <w:rPr>
                <w:rFonts w:hint="eastAsia"/>
                <w:snapToGrid w:val="0"/>
                <w:kern w:val="0"/>
                <w:szCs w:val="21"/>
              </w:rPr>
              <w:t>6</w:t>
            </w:r>
            <w:r>
              <w:rPr>
                <w:snapToGrid w:val="0"/>
                <w:kern w:val="0"/>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2.2.1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bookmarkStart w:id="31" w:name="_Hlk136416228"/>
            <w:r>
              <w:rPr>
                <w:snapToGrid w:val="0"/>
                <w:kern w:val="0"/>
                <w:szCs w:val="21"/>
              </w:rPr>
              <w:t>分值构成</w:t>
            </w:r>
            <w:bookmarkEnd w:id="31"/>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bCs/>
                <w:snapToGrid w:val="0"/>
                <w:kern w:val="0"/>
                <w:szCs w:val="21"/>
              </w:rPr>
            </w:pPr>
            <w:r>
              <w:rPr>
                <w:b/>
                <w:bCs/>
                <w:snapToGrid w:val="0"/>
                <w:kern w:val="0"/>
                <w:szCs w:val="21"/>
              </w:rPr>
              <w:t>第一信封（商务及技术文件）评分分值构成：</w:t>
            </w:r>
          </w:p>
          <w:p>
            <w:pPr>
              <w:adjustRightInd w:val="0"/>
              <w:snapToGrid w:val="0"/>
              <w:spacing w:line="0" w:lineRule="atLeast"/>
              <w:rPr>
                <w:snapToGrid w:val="0"/>
                <w:kern w:val="0"/>
                <w:szCs w:val="21"/>
              </w:rPr>
            </w:pPr>
            <w:r>
              <w:rPr>
                <w:snapToGrid w:val="0"/>
                <w:kern w:val="0"/>
                <w:szCs w:val="21"/>
              </w:rPr>
              <w:t>技术建议书：</w:t>
            </w:r>
            <w:r>
              <w:rPr>
                <w:rFonts w:hint="eastAsia"/>
                <w:snapToGrid w:val="0"/>
                <w:kern w:val="0"/>
                <w:szCs w:val="21"/>
                <w:u w:val="single"/>
              </w:rPr>
              <w:t>50</w:t>
            </w:r>
            <w:r>
              <w:rPr>
                <w:snapToGrid w:val="0"/>
                <w:kern w:val="0"/>
                <w:szCs w:val="21"/>
              </w:rPr>
              <w:t>分</w:t>
            </w:r>
          </w:p>
          <w:p>
            <w:pPr>
              <w:adjustRightInd w:val="0"/>
              <w:snapToGrid w:val="0"/>
              <w:spacing w:line="0" w:lineRule="atLeast"/>
              <w:rPr>
                <w:snapToGrid w:val="0"/>
                <w:kern w:val="0"/>
                <w:szCs w:val="21"/>
              </w:rPr>
            </w:pPr>
            <w:r>
              <w:rPr>
                <w:snapToGrid w:val="0"/>
                <w:kern w:val="0"/>
                <w:szCs w:val="21"/>
              </w:rPr>
              <w:t>主要人员：</w:t>
            </w:r>
            <w:r>
              <w:rPr>
                <w:rFonts w:hint="eastAsia"/>
                <w:snapToGrid w:val="0"/>
                <w:kern w:val="0"/>
                <w:szCs w:val="21"/>
                <w:u w:val="single"/>
              </w:rPr>
              <w:t>5</w:t>
            </w:r>
            <w:r>
              <w:rPr>
                <w:snapToGrid w:val="0"/>
                <w:kern w:val="0"/>
                <w:szCs w:val="21"/>
              </w:rPr>
              <w:t>分</w:t>
            </w:r>
          </w:p>
          <w:p>
            <w:pPr>
              <w:adjustRightInd w:val="0"/>
              <w:snapToGrid w:val="0"/>
              <w:spacing w:line="0" w:lineRule="atLeast"/>
              <w:rPr>
                <w:snapToGrid w:val="0"/>
                <w:kern w:val="0"/>
                <w:szCs w:val="21"/>
              </w:rPr>
            </w:pPr>
            <w:r>
              <w:rPr>
                <w:snapToGrid w:val="0"/>
                <w:kern w:val="0"/>
                <w:szCs w:val="21"/>
              </w:rPr>
              <w:t>业    绩：</w:t>
            </w:r>
            <w:r>
              <w:rPr>
                <w:rFonts w:hint="eastAsia"/>
                <w:snapToGrid w:val="0"/>
                <w:kern w:val="0"/>
                <w:szCs w:val="21"/>
                <w:u w:val="single"/>
              </w:rPr>
              <w:t>15</w:t>
            </w:r>
            <w:r>
              <w:rPr>
                <w:snapToGrid w:val="0"/>
                <w:kern w:val="0"/>
                <w:szCs w:val="21"/>
              </w:rPr>
              <w:t>分</w:t>
            </w:r>
          </w:p>
          <w:p>
            <w:pPr>
              <w:adjustRightInd w:val="0"/>
              <w:snapToGrid w:val="0"/>
              <w:spacing w:line="0" w:lineRule="atLeast"/>
              <w:rPr>
                <w:b/>
                <w:bCs/>
                <w:snapToGrid w:val="0"/>
                <w:kern w:val="0"/>
                <w:szCs w:val="21"/>
              </w:rPr>
            </w:pPr>
            <w:r>
              <w:rPr>
                <w:b/>
                <w:bCs/>
                <w:snapToGrid w:val="0"/>
                <w:kern w:val="0"/>
                <w:szCs w:val="21"/>
              </w:rPr>
              <w:t>第二信封（报价文件）评分分值构成：</w:t>
            </w:r>
          </w:p>
          <w:p>
            <w:pPr>
              <w:adjustRightInd w:val="0"/>
              <w:snapToGrid w:val="0"/>
              <w:spacing w:line="0" w:lineRule="atLeast"/>
              <w:textAlignment w:val="baseline"/>
              <w:rPr>
                <w:snapToGrid w:val="0"/>
                <w:kern w:val="0"/>
                <w:szCs w:val="21"/>
              </w:rPr>
            </w:pPr>
            <w:r>
              <w:rPr>
                <w:snapToGrid w:val="0"/>
                <w:kern w:val="0"/>
                <w:szCs w:val="21"/>
              </w:rPr>
              <w:t>评标价：</w:t>
            </w:r>
            <w:r>
              <w:rPr>
                <w:rFonts w:hint="eastAsia"/>
                <w:snapToGrid w:val="0"/>
                <w:kern w:val="0"/>
                <w:szCs w:val="21"/>
                <w:u w:val="single"/>
              </w:rPr>
              <w:t>30</w:t>
            </w:r>
            <w:r>
              <w:rPr>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2.2.2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评标基准价计算方法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napToGrid w:val="0"/>
                <w:kern w:val="0"/>
                <w:szCs w:val="21"/>
              </w:rPr>
            </w:pPr>
            <w:r>
              <w:rPr>
                <w:snapToGrid w:val="0"/>
                <w:kern w:val="0"/>
                <w:szCs w:val="21"/>
              </w:rPr>
              <w:t>在开标现场，招标人将当场计算并宣布评标基准价。</w:t>
            </w:r>
          </w:p>
          <w:p>
            <w:pPr>
              <w:adjustRightInd w:val="0"/>
              <w:snapToGrid w:val="0"/>
              <w:spacing w:line="0" w:lineRule="atLeast"/>
              <w:rPr>
                <w:snapToGrid w:val="0"/>
                <w:kern w:val="0"/>
                <w:szCs w:val="21"/>
              </w:rPr>
            </w:pPr>
            <w:r>
              <w:rPr>
                <w:snapToGrid w:val="0"/>
                <w:kern w:val="0"/>
                <w:szCs w:val="21"/>
              </w:rPr>
              <w:t>（1）评标价的确定：评标价=投标函文字报价</w:t>
            </w:r>
          </w:p>
          <w:p>
            <w:pPr>
              <w:adjustRightInd w:val="0"/>
              <w:snapToGrid w:val="0"/>
              <w:spacing w:line="0" w:lineRule="atLeast"/>
              <w:rPr>
                <w:snapToGrid w:val="0"/>
                <w:kern w:val="0"/>
                <w:szCs w:val="21"/>
              </w:rPr>
            </w:pPr>
            <w:r>
              <w:rPr>
                <w:snapToGrid w:val="0"/>
                <w:kern w:val="0"/>
                <w:szCs w:val="21"/>
              </w:rPr>
              <w:t>（2）评标价平均值的计算：</w:t>
            </w:r>
          </w:p>
          <w:p>
            <w:pPr>
              <w:adjustRightInd w:val="0"/>
              <w:snapToGrid w:val="0"/>
              <w:spacing w:line="0" w:lineRule="atLeast"/>
              <w:rPr>
                <w:snapToGrid w:val="0"/>
                <w:kern w:val="0"/>
                <w:szCs w:val="21"/>
              </w:rPr>
            </w:pPr>
            <w:r>
              <w:rPr>
                <w:snapToGrid w:val="0"/>
                <w:kern w:val="0"/>
                <w:szCs w:val="21"/>
              </w:rPr>
              <w:t>除按第二章“投标人须知”第5.2.4项规定开标现场被宣布为不进入评标基准价计算的投标报价之外的投标人评标价</w:t>
            </w:r>
            <w:r>
              <w:rPr>
                <w:rFonts w:hint="eastAsia"/>
                <w:snapToGrid w:val="0"/>
                <w:kern w:val="0"/>
                <w:szCs w:val="21"/>
              </w:rPr>
              <w:t>均参与计算</w:t>
            </w:r>
            <w:r>
              <w:rPr>
                <w:snapToGrid w:val="0"/>
                <w:kern w:val="0"/>
                <w:szCs w:val="21"/>
              </w:rPr>
              <w:t>评标价平均值（评标价平均值保留小数点后两位，小数点后第三位四舍五入）</w:t>
            </w:r>
            <w:r>
              <w:rPr>
                <w:rFonts w:hint="eastAsia"/>
                <w:snapToGrid w:val="0"/>
                <w:kern w:val="0"/>
                <w:szCs w:val="21"/>
              </w:rPr>
              <w:t>：</w:t>
            </w:r>
          </w:p>
          <w:p>
            <w:pPr>
              <w:adjustRightInd w:val="0"/>
              <w:snapToGrid w:val="0"/>
              <w:spacing w:line="0" w:lineRule="atLeast"/>
              <w:rPr>
                <w:snapToGrid w:val="0"/>
                <w:kern w:val="0"/>
                <w:szCs w:val="21"/>
              </w:rPr>
            </w:pPr>
            <w:r>
              <w:rPr>
                <w:rFonts w:hint="eastAsia"/>
                <w:snapToGrid w:val="0"/>
                <w:kern w:val="0"/>
                <w:szCs w:val="21"/>
              </w:rPr>
              <w:t>如果参与评标价平均值计算的投标人数量小于等于5家，所有投标人报价的算数平均值即为评标价平均值；</w:t>
            </w:r>
          </w:p>
          <w:p>
            <w:pPr>
              <w:adjustRightInd w:val="0"/>
              <w:snapToGrid w:val="0"/>
              <w:spacing w:line="0" w:lineRule="atLeast"/>
              <w:rPr>
                <w:snapToGrid w:val="0"/>
                <w:kern w:val="0"/>
                <w:szCs w:val="21"/>
              </w:rPr>
            </w:pPr>
            <w:r>
              <w:rPr>
                <w:rFonts w:hint="eastAsia"/>
                <w:snapToGrid w:val="0"/>
                <w:kern w:val="0"/>
                <w:szCs w:val="21"/>
              </w:rPr>
              <w:t>如果参与评标价平均值计算的投标人数量大于5家，所有投标人报价中去掉一个最高值和一个最低值后的算数平均值即为评标价平均值。</w:t>
            </w:r>
          </w:p>
          <w:p>
            <w:pPr>
              <w:adjustRightInd w:val="0"/>
              <w:snapToGrid w:val="0"/>
              <w:spacing w:line="0" w:lineRule="atLeast"/>
              <w:rPr>
                <w:snapToGrid w:val="0"/>
                <w:kern w:val="0"/>
                <w:szCs w:val="21"/>
              </w:rPr>
            </w:pPr>
            <w:r>
              <w:rPr>
                <w:snapToGrid w:val="0"/>
                <w:kern w:val="0"/>
                <w:szCs w:val="21"/>
              </w:rPr>
              <w:t>（3）评标基准价的确定：</w:t>
            </w:r>
          </w:p>
          <w:p>
            <w:pPr>
              <w:adjustRightInd w:val="0"/>
              <w:snapToGrid w:val="0"/>
              <w:spacing w:line="0" w:lineRule="atLeast"/>
              <w:rPr>
                <w:snapToGrid w:val="0"/>
                <w:kern w:val="0"/>
                <w:szCs w:val="21"/>
              </w:rPr>
            </w:pPr>
            <w:r>
              <w:rPr>
                <w:rFonts w:hint="eastAsia"/>
                <w:snapToGrid w:val="0"/>
                <w:kern w:val="0"/>
                <w:szCs w:val="21"/>
              </w:rPr>
              <w:t>将评标价平均值直接作为评标基准价（评标基准价保留小数点后两位，小数点后第三位四舍五入）。</w:t>
            </w:r>
          </w:p>
          <w:p>
            <w:pPr>
              <w:adjustRightInd w:val="0"/>
              <w:snapToGrid w:val="0"/>
              <w:spacing w:line="0" w:lineRule="atLeast"/>
              <w:rPr>
                <w:snapToGrid w:val="0"/>
                <w:kern w:val="0"/>
                <w:szCs w:val="21"/>
              </w:rPr>
            </w:pPr>
            <w:r>
              <w:rPr>
                <w:snapToGrid w:val="0"/>
                <w:kern w:val="0"/>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2.2.3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评标价的偏差率计算公式</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snapToGrid w:val="0"/>
                <w:kern w:val="0"/>
                <w:szCs w:val="21"/>
              </w:rPr>
            </w:pPr>
            <w:r>
              <w:rPr>
                <w:snapToGrid w:val="0"/>
                <w:kern w:val="0"/>
                <w:szCs w:val="21"/>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3.6.1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kern w:val="0"/>
                <w:szCs w:val="21"/>
              </w:rPr>
            </w:pPr>
            <w:r>
              <w:rPr>
                <w:snapToGrid w:val="0"/>
                <w:kern w:val="0"/>
                <w:szCs w:val="21"/>
              </w:rPr>
              <w:t>投标文件相关信息的核查</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napToGrid w:val="0"/>
                <w:kern w:val="0"/>
                <w:szCs w:val="21"/>
              </w:rPr>
            </w:pPr>
            <w:r>
              <w:rPr>
                <w:snapToGrid w:val="0"/>
                <w:kern w:val="0"/>
                <w:szCs w:val="21"/>
              </w:rPr>
              <w:t>本</w:t>
            </w:r>
            <w:r>
              <w:rPr>
                <w:rFonts w:hint="eastAsia"/>
                <w:snapToGrid w:val="0"/>
                <w:kern w:val="0"/>
                <w:szCs w:val="21"/>
              </w:rPr>
              <w:t>款</w:t>
            </w:r>
            <w:r>
              <w:rPr>
                <w:snapToGrid w:val="0"/>
                <w:kern w:val="0"/>
                <w:szCs w:val="21"/>
              </w:rPr>
              <w:t>修改为：</w:t>
            </w:r>
          </w:p>
          <w:p>
            <w:pPr>
              <w:adjustRightInd w:val="0"/>
              <w:snapToGrid w:val="0"/>
              <w:spacing w:line="0" w:lineRule="atLeast"/>
              <w:rPr>
                <w:snapToGrid w:val="0"/>
                <w:kern w:val="0"/>
                <w:szCs w:val="21"/>
              </w:rPr>
            </w:pPr>
            <w:r>
              <w:rPr>
                <w:rFonts w:hint="eastAsia"/>
                <w:snapToGrid w:val="0"/>
                <w:kern w:val="0"/>
                <w:szCs w:val="21"/>
              </w:rPr>
              <w:t>评标委员会在评标时按照投标人提供的验证方式对电子保函或电子保证保险进行验证</w:t>
            </w:r>
            <w:r>
              <w:rPr>
                <w:snapToGrid w:val="0"/>
                <w:kern w:val="0"/>
                <w:szCs w:val="21"/>
              </w:rPr>
              <w:t>。如投标人未提供电子保函或电子保证保险的验证方式，或根据提供的验证方式无法核实的，评标委员会应否决其投标。</w:t>
            </w:r>
          </w:p>
          <w:p>
            <w:pPr>
              <w:adjustRightInd w:val="0"/>
              <w:snapToGrid w:val="0"/>
              <w:spacing w:line="0" w:lineRule="atLeast"/>
              <w:rPr>
                <w:snapToGrid w:val="0"/>
                <w:kern w:val="0"/>
                <w:szCs w:val="21"/>
              </w:rPr>
            </w:pPr>
            <w:r>
              <w:rPr>
                <w:snapToGrid w:val="0"/>
                <w:kern w:val="0"/>
                <w:szCs w:val="21"/>
              </w:rPr>
              <w:t>评标委员会在评标时应对投标人的信用情况在“国家企业信用信息公示系统”和“信用中国”网站进行查询，若投标人存在“国家企业信用信息公示系统”被列入严重违法失信企业名单（不含分公司）或在“信用中国”网站“被列入失信被执行人名单、经营异常名录、税收违法黑名单（或重大税收违法失信主体）、政府采购严重违法失信行为记录名单情形的（均不含分公司），评标委员会应否决其投标。</w:t>
            </w:r>
          </w:p>
          <w:p>
            <w:pPr>
              <w:adjustRightInd w:val="0"/>
              <w:snapToGrid w:val="0"/>
              <w:spacing w:line="0" w:lineRule="atLeast"/>
              <w:rPr>
                <w:snapToGrid w:val="0"/>
                <w:kern w:val="0"/>
                <w:szCs w:val="21"/>
              </w:rPr>
            </w:pPr>
            <w:r>
              <w:rPr>
                <w:snapToGrid w:val="0"/>
                <w:kern w:val="0"/>
                <w:szCs w:val="21"/>
              </w:rPr>
              <w:t>投标人按招标文件要求提供了截图，并承担由于信息填报不完整或者不准确等原因导致投标可能被否决的后果。相关信息由投标人填报的，其真实性由投标人负责，经查证与事实不符的，视为投标过程中的弄虚作假行为，按相关规定处理。</w:t>
            </w:r>
          </w:p>
          <w:p>
            <w:pPr>
              <w:adjustRightInd w:val="0"/>
              <w:snapToGrid w:val="0"/>
              <w:spacing w:line="0" w:lineRule="atLeast"/>
              <w:textAlignment w:val="baseline"/>
              <w:rPr>
                <w:snapToGrid w:val="0"/>
                <w:kern w:val="0"/>
                <w:szCs w:val="21"/>
              </w:rPr>
            </w:pPr>
            <w:r>
              <w:rPr>
                <w:rFonts w:hint="eastAsia"/>
                <w:snapToGrid w:val="0"/>
                <w:kern w:val="0"/>
                <w:szCs w:val="21"/>
              </w:rPr>
              <w:t>如投标人未提供招标文件要求的相关截图或与评标委员会查询结果不符的，评标委员会应否决其投标。</w:t>
            </w:r>
          </w:p>
        </w:tc>
      </w:tr>
    </w:tbl>
    <w:p>
      <w:pPr>
        <w:adjustRightInd w:val="0"/>
        <w:snapToGrid w:val="0"/>
        <w:spacing w:line="360" w:lineRule="auto"/>
        <w:jc w:val="center"/>
        <w:textAlignment w:val="baseline"/>
        <w:rPr>
          <w:rFonts w:ascii="宋体" w:hAnsi="宋体"/>
          <w:b/>
          <w:bCs/>
          <w:snapToGrid w:val="0"/>
          <w:kern w:val="0"/>
          <w:sz w:val="24"/>
        </w:rPr>
      </w:pPr>
      <w:r>
        <w:rPr>
          <w:rFonts w:ascii="宋体" w:hAnsi="宋体"/>
          <w:b/>
          <w:bCs/>
          <w:snapToGrid w:val="0"/>
          <w:kern w:val="0"/>
          <w:sz w:val="24"/>
        </w:rPr>
        <w:br w:type="page"/>
      </w:r>
    </w:p>
    <w:tbl>
      <w:tblPr>
        <w:tblStyle w:val="6"/>
        <w:tblW w:w="5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778"/>
        <w:gridCol w:w="803"/>
        <w:gridCol w:w="1825"/>
        <w:gridCol w:w="786"/>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bookmarkStart w:id="32" w:name="_Hlk136416415"/>
            <w:r>
              <w:rPr>
                <w:rFonts w:hint="eastAsia" w:ascii="宋体" w:hAnsi="宋体"/>
                <w:b/>
                <w:bCs/>
                <w:snapToGrid w:val="0"/>
                <w:kern w:val="0"/>
                <w:sz w:val="24"/>
              </w:rPr>
              <w:t>评分因素与权重分值、评分标准</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2888" w:type="pct"/>
            <w:gridSpan w:val="5"/>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评分因素与权重分值</w:t>
            </w:r>
          </w:p>
        </w:tc>
        <w:tc>
          <w:tcPr>
            <w:tcW w:w="2112"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r>
              <w:rPr>
                <w:snapToGrid w:val="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条款号</w:t>
            </w:r>
          </w:p>
        </w:tc>
        <w:tc>
          <w:tcPr>
            <w:tcW w:w="453"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评分</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因素</w:t>
            </w:r>
          </w:p>
        </w:tc>
        <w:tc>
          <w:tcPr>
            <w:tcW w:w="467"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评分因素权重分值</w:t>
            </w:r>
          </w:p>
        </w:tc>
        <w:tc>
          <w:tcPr>
            <w:tcW w:w="1062"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Style w:val="10"/>
                <w:rFonts w:hint="default" w:ascii="Times New Roman" w:hAnsi="Times New Roman" w:cs="Times New Roman"/>
                <w:snapToGrid w:val="0"/>
                <w:color w:val="auto"/>
                <w:kern w:val="0"/>
              </w:rPr>
              <w:t>各评分因素细分项</w:t>
            </w:r>
          </w:p>
        </w:tc>
        <w:tc>
          <w:tcPr>
            <w:tcW w:w="457"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分值</w:t>
            </w:r>
          </w:p>
        </w:tc>
        <w:tc>
          <w:tcPr>
            <w:tcW w:w="2112"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rPr>
              <w:t>2.2.4（1）</w:t>
            </w:r>
          </w:p>
        </w:tc>
        <w:tc>
          <w:tcPr>
            <w:tcW w:w="453"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rPr>
              <w:t>技术建议书</w:t>
            </w:r>
          </w:p>
        </w:tc>
        <w:tc>
          <w:tcPr>
            <w:tcW w:w="467" w:type="pct"/>
            <w:vMerge w:val="restar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rPr>
              <w:t>50分</w:t>
            </w:r>
          </w:p>
        </w:tc>
        <w:tc>
          <w:tcPr>
            <w:tcW w:w="1062" w:type="pc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ascii="Times New Roman"/>
                <w:color w:val="auto"/>
                <w:sz w:val="21"/>
                <w:szCs w:val="21"/>
              </w:rPr>
            </w:pPr>
            <w:bookmarkStart w:id="33" w:name="_Hlk159435577"/>
            <w:r>
              <w:rPr>
                <w:rFonts w:ascii="Times New Roman"/>
              </w:rPr>
              <w:t>对项目的理解、重点难点分析</w:t>
            </w:r>
            <w:bookmarkEnd w:id="33"/>
          </w:p>
        </w:tc>
        <w:tc>
          <w:tcPr>
            <w:tcW w:w="457"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rPr>
              <w:t>10</w:t>
            </w:r>
            <w:r>
              <w:rPr>
                <w:rFonts w:hint="eastAsia" w:ascii="Times New Roman"/>
              </w:rPr>
              <w:t>分</w:t>
            </w:r>
          </w:p>
        </w:tc>
        <w:tc>
          <w:tcPr>
            <w:tcW w:w="2112" w:type="pct"/>
            <w:tcBorders>
              <w:left w:val="single" w:color="auto" w:sz="4" w:space="0"/>
              <w:bottom w:val="single" w:color="auto" w:sz="4" w:space="0"/>
              <w:right w:val="single" w:color="auto" w:sz="4" w:space="0"/>
            </w:tcBorders>
            <w:vAlign w:val="center"/>
          </w:tcPr>
          <w:p>
            <w:pPr>
              <w:pStyle w:val="5"/>
              <w:adjustRightInd w:val="0"/>
              <w:snapToGrid w:val="0"/>
              <w:jc w:val="left"/>
              <w:rPr>
                <w:rFonts w:ascii="Times New Roman"/>
              </w:rPr>
            </w:pPr>
            <w:r>
              <w:rPr>
                <w:rFonts w:ascii="Times New Roman"/>
              </w:rPr>
              <w:t>对项目服务内容理解深刻，重点难点分析准确，内容和深度符合本项目工作要求的，得8-10分；</w:t>
            </w:r>
          </w:p>
          <w:p>
            <w:pPr>
              <w:pStyle w:val="5"/>
              <w:adjustRightInd w:val="0"/>
              <w:snapToGrid w:val="0"/>
              <w:jc w:val="left"/>
              <w:rPr>
                <w:rFonts w:ascii="Times New Roman"/>
              </w:rPr>
            </w:pPr>
            <w:r>
              <w:rPr>
                <w:rFonts w:ascii="Times New Roman"/>
              </w:rPr>
              <w:t>对整个项目理解和描述较为准确，对项目服务内容理解较为清楚，内容和深度较符合本工作要求的，得6-8分；</w:t>
            </w:r>
          </w:p>
          <w:p>
            <w:pPr>
              <w:pStyle w:val="5"/>
              <w:adjustRightInd w:val="0"/>
              <w:snapToGrid w:val="0"/>
              <w:jc w:val="left"/>
              <w:rPr>
                <w:rFonts w:ascii="Times New Roman"/>
              </w:rPr>
            </w:pPr>
            <w:r>
              <w:rPr>
                <w:rFonts w:ascii="Times New Roman"/>
              </w:rPr>
              <w:t>对整个项目背景和采购需求基本理解，内容和深度基本符合本工作要求的，得6分；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7"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2" w:type="pc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ascii="Times New Roman"/>
                <w:color w:val="auto"/>
                <w:sz w:val="21"/>
                <w:szCs w:val="21"/>
              </w:rPr>
            </w:pPr>
            <w:bookmarkStart w:id="34" w:name="_Hlk159435583"/>
            <w:r>
              <w:rPr>
                <w:rFonts w:ascii="Times New Roman"/>
              </w:rPr>
              <w:t>工作进度保证措施</w:t>
            </w:r>
            <w:bookmarkEnd w:id="34"/>
          </w:p>
        </w:tc>
        <w:tc>
          <w:tcPr>
            <w:tcW w:w="457"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rPr>
              <w:t>10</w:t>
            </w:r>
            <w:r>
              <w:rPr>
                <w:rFonts w:hint="eastAsia" w:ascii="Times New Roman"/>
              </w:rPr>
              <w:t>分</w:t>
            </w:r>
          </w:p>
        </w:tc>
        <w:tc>
          <w:tcPr>
            <w:tcW w:w="2112" w:type="pct"/>
            <w:tcBorders>
              <w:left w:val="single" w:color="auto" w:sz="4" w:space="0"/>
              <w:bottom w:val="single" w:color="auto" w:sz="4" w:space="0"/>
              <w:right w:val="single" w:color="auto" w:sz="4" w:space="0"/>
            </w:tcBorders>
            <w:vAlign w:val="center"/>
          </w:tcPr>
          <w:p>
            <w:pPr>
              <w:pStyle w:val="5"/>
              <w:adjustRightInd w:val="0"/>
              <w:snapToGrid w:val="0"/>
              <w:jc w:val="left"/>
              <w:rPr>
                <w:rFonts w:ascii="Times New Roman"/>
              </w:rPr>
            </w:pPr>
            <w:r>
              <w:rPr>
                <w:rFonts w:ascii="Times New Roman"/>
              </w:rPr>
              <w:t>工作进度保证措施科学、完善</w:t>
            </w:r>
            <w:r>
              <w:rPr>
                <w:rFonts w:hint="eastAsia" w:ascii="Times New Roman"/>
              </w:rPr>
              <w:t>，</w:t>
            </w:r>
            <w:r>
              <w:rPr>
                <w:rFonts w:ascii="Times New Roman"/>
              </w:rPr>
              <w:t>得8-10分；</w:t>
            </w:r>
          </w:p>
          <w:p>
            <w:pPr>
              <w:pStyle w:val="5"/>
              <w:adjustRightInd w:val="0"/>
              <w:snapToGrid w:val="0"/>
              <w:jc w:val="left"/>
              <w:rPr>
                <w:rFonts w:ascii="Times New Roman"/>
              </w:rPr>
            </w:pPr>
            <w:r>
              <w:rPr>
                <w:rFonts w:ascii="Times New Roman"/>
              </w:rPr>
              <w:t>工作进度保证措施较好，较完善</w:t>
            </w:r>
            <w:r>
              <w:rPr>
                <w:rFonts w:hint="eastAsia" w:ascii="Times New Roman"/>
              </w:rPr>
              <w:t>，</w:t>
            </w:r>
            <w:r>
              <w:rPr>
                <w:rFonts w:ascii="Times New Roman"/>
              </w:rPr>
              <w:t>得6-8分；</w:t>
            </w:r>
          </w:p>
          <w:p>
            <w:pPr>
              <w:pStyle w:val="5"/>
              <w:adjustRightInd w:val="0"/>
              <w:snapToGrid w:val="0"/>
              <w:jc w:val="left"/>
              <w:rPr>
                <w:rFonts w:ascii="Times New Roman"/>
              </w:rPr>
            </w:pPr>
            <w:r>
              <w:rPr>
                <w:rFonts w:ascii="Times New Roman"/>
              </w:rPr>
              <w:t>工作进度保证措施一般</w:t>
            </w:r>
            <w:r>
              <w:rPr>
                <w:rFonts w:hint="eastAsia"/>
              </w:rPr>
              <w:t>，</w:t>
            </w:r>
            <w:r>
              <w:rPr>
                <w:rFonts w:ascii="Times New Roman"/>
              </w:rPr>
              <w:t>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7"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2" w:type="pc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ascii="Times New Roman"/>
                <w:color w:val="auto"/>
                <w:sz w:val="21"/>
                <w:szCs w:val="21"/>
              </w:rPr>
            </w:pPr>
            <w:bookmarkStart w:id="35" w:name="_Hlk159435589"/>
            <w:r>
              <w:rPr>
                <w:rFonts w:ascii="Times New Roman"/>
              </w:rPr>
              <w:t>质量保证措施</w:t>
            </w:r>
            <w:bookmarkEnd w:id="35"/>
          </w:p>
        </w:tc>
        <w:tc>
          <w:tcPr>
            <w:tcW w:w="457"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rPr>
              <w:t>10</w:t>
            </w:r>
            <w:r>
              <w:rPr>
                <w:rFonts w:hint="eastAsia" w:ascii="Times New Roman"/>
              </w:rPr>
              <w:t>分</w:t>
            </w:r>
          </w:p>
        </w:tc>
        <w:tc>
          <w:tcPr>
            <w:tcW w:w="2112" w:type="pct"/>
            <w:tcBorders>
              <w:left w:val="single" w:color="auto" w:sz="4" w:space="0"/>
              <w:bottom w:val="single" w:color="auto" w:sz="4" w:space="0"/>
              <w:right w:val="single" w:color="auto" w:sz="4" w:space="0"/>
            </w:tcBorders>
            <w:vAlign w:val="center"/>
          </w:tcPr>
          <w:p>
            <w:pPr>
              <w:pStyle w:val="5"/>
              <w:adjustRightInd w:val="0"/>
              <w:snapToGrid w:val="0"/>
              <w:jc w:val="left"/>
              <w:rPr>
                <w:rFonts w:ascii="Times New Roman"/>
              </w:rPr>
            </w:pPr>
            <w:r>
              <w:rPr>
                <w:rFonts w:ascii="Times New Roman"/>
              </w:rPr>
              <w:t>质量保证措施科学、完善</w:t>
            </w:r>
            <w:r>
              <w:rPr>
                <w:rFonts w:hint="eastAsia" w:ascii="Times New Roman"/>
              </w:rPr>
              <w:t>，</w:t>
            </w:r>
            <w:r>
              <w:rPr>
                <w:rFonts w:ascii="Times New Roman"/>
              </w:rPr>
              <w:t>得8-10分；</w:t>
            </w:r>
          </w:p>
          <w:p>
            <w:pPr>
              <w:pStyle w:val="5"/>
              <w:adjustRightInd w:val="0"/>
              <w:snapToGrid w:val="0"/>
              <w:jc w:val="left"/>
              <w:rPr>
                <w:rFonts w:ascii="Times New Roman"/>
              </w:rPr>
            </w:pPr>
            <w:r>
              <w:rPr>
                <w:rFonts w:ascii="Times New Roman"/>
              </w:rPr>
              <w:t>质量保证措施较好，较完善</w:t>
            </w:r>
            <w:r>
              <w:rPr>
                <w:rFonts w:hint="eastAsia" w:ascii="Times New Roman"/>
              </w:rPr>
              <w:t>，</w:t>
            </w:r>
            <w:r>
              <w:rPr>
                <w:rFonts w:ascii="Times New Roman"/>
              </w:rPr>
              <w:t>得6-8分；</w:t>
            </w:r>
          </w:p>
          <w:p>
            <w:pPr>
              <w:pStyle w:val="5"/>
              <w:adjustRightInd w:val="0"/>
              <w:snapToGrid w:val="0"/>
              <w:jc w:val="left"/>
              <w:rPr>
                <w:rFonts w:ascii="Times New Roman"/>
              </w:rPr>
            </w:pPr>
            <w:r>
              <w:rPr>
                <w:rFonts w:ascii="Times New Roman"/>
              </w:rPr>
              <w:t>质量保证措施一般</w:t>
            </w:r>
            <w:r>
              <w:rPr>
                <w:rFonts w:hint="eastAsia"/>
              </w:rPr>
              <w:t>，</w:t>
            </w:r>
            <w:r>
              <w:rPr>
                <w:rFonts w:ascii="Times New Roman"/>
              </w:rPr>
              <w:t>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7"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2" w:type="pc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ascii="Times New Roman"/>
                <w:color w:val="auto"/>
                <w:sz w:val="21"/>
                <w:szCs w:val="21"/>
              </w:rPr>
            </w:pPr>
            <w:bookmarkStart w:id="36" w:name="_Hlk159435595"/>
            <w:r>
              <w:rPr>
                <w:rFonts w:ascii="Times New Roman"/>
              </w:rPr>
              <w:t>服务承诺</w:t>
            </w:r>
            <w:bookmarkEnd w:id="36"/>
          </w:p>
        </w:tc>
        <w:tc>
          <w:tcPr>
            <w:tcW w:w="457"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rPr>
              <w:t>10</w:t>
            </w:r>
            <w:r>
              <w:rPr>
                <w:rFonts w:hint="eastAsia" w:ascii="Times New Roman"/>
              </w:rPr>
              <w:t>分</w:t>
            </w:r>
          </w:p>
        </w:tc>
        <w:tc>
          <w:tcPr>
            <w:tcW w:w="2112" w:type="pct"/>
            <w:tcBorders>
              <w:left w:val="single" w:color="auto" w:sz="4" w:space="0"/>
              <w:bottom w:val="single" w:color="auto" w:sz="4" w:space="0"/>
              <w:right w:val="single" w:color="auto" w:sz="4" w:space="0"/>
            </w:tcBorders>
            <w:vAlign w:val="center"/>
          </w:tcPr>
          <w:p>
            <w:pPr>
              <w:pStyle w:val="5"/>
              <w:adjustRightInd w:val="0"/>
              <w:snapToGrid w:val="0"/>
              <w:jc w:val="left"/>
              <w:rPr>
                <w:rFonts w:ascii="Times New Roman"/>
              </w:rPr>
            </w:pPr>
            <w:r>
              <w:rPr>
                <w:rFonts w:ascii="Times New Roman"/>
              </w:rPr>
              <w:t>服务承诺完备、优质</w:t>
            </w:r>
            <w:r>
              <w:rPr>
                <w:rFonts w:hint="eastAsia" w:ascii="Times New Roman"/>
              </w:rPr>
              <w:t>，</w:t>
            </w:r>
            <w:r>
              <w:rPr>
                <w:rFonts w:ascii="Times New Roman"/>
              </w:rPr>
              <w:t>得8-10分；</w:t>
            </w:r>
          </w:p>
          <w:p>
            <w:pPr>
              <w:pStyle w:val="5"/>
              <w:adjustRightInd w:val="0"/>
              <w:snapToGrid w:val="0"/>
              <w:jc w:val="left"/>
              <w:rPr>
                <w:rFonts w:ascii="Times New Roman"/>
              </w:rPr>
            </w:pPr>
            <w:r>
              <w:rPr>
                <w:rFonts w:ascii="Times New Roman"/>
              </w:rPr>
              <w:t>服务承诺</w:t>
            </w:r>
            <w:r>
              <w:rPr>
                <w:rFonts w:hint="eastAsia" w:ascii="Times New Roman"/>
              </w:rPr>
              <w:t>较好，</w:t>
            </w:r>
            <w:r>
              <w:rPr>
                <w:rFonts w:ascii="Times New Roman"/>
              </w:rPr>
              <w:t>得6-8分；</w:t>
            </w:r>
          </w:p>
          <w:p>
            <w:pPr>
              <w:pStyle w:val="5"/>
              <w:adjustRightInd w:val="0"/>
              <w:snapToGrid w:val="0"/>
              <w:jc w:val="left"/>
              <w:rPr>
                <w:rFonts w:ascii="Times New Roman"/>
              </w:rPr>
            </w:pPr>
            <w:r>
              <w:rPr>
                <w:rFonts w:ascii="Times New Roman"/>
              </w:rPr>
              <w:t>服务承诺</w:t>
            </w:r>
            <w:r>
              <w:rPr>
                <w:rFonts w:hint="eastAsia" w:ascii="Times New Roman"/>
              </w:rPr>
              <w:t>一般</w:t>
            </w:r>
            <w:r>
              <w:rPr>
                <w:rFonts w:hint="eastAsia"/>
              </w:rPr>
              <w:t>，</w:t>
            </w:r>
            <w:r>
              <w:rPr>
                <w:rFonts w:ascii="Times New Roman"/>
              </w:rPr>
              <w:t>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53"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467" w:type="pct"/>
            <w:vMerge w:val="continue"/>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p>
        </w:tc>
        <w:tc>
          <w:tcPr>
            <w:tcW w:w="1062" w:type="pc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1"/>
                <w:rFonts w:ascii="Times New Roman"/>
                <w:color w:val="auto"/>
                <w:sz w:val="21"/>
                <w:szCs w:val="21"/>
              </w:rPr>
            </w:pPr>
            <w:bookmarkStart w:id="37" w:name="_Hlk159435601"/>
            <w:r>
              <w:rPr>
                <w:rFonts w:ascii="Times New Roman"/>
              </w:rPr>
              <w:t>设备、设施配备计划</w:t>
            </w:r>
            <w:bookmarkEnd w:id="37"/>
          </w:p>
        </w:tc>
        <w:tc>
          <w:tcPr>
            <w:tcW w:w="457"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rPr>
              <w:t>10</w:t>
            </w:r>
            <w:r>
              <w:rPr>
                <w:rFonts w:hint="eastAsia" w:ascii="Times New Roman"/>
              </w:rPr>
              <w:t>分</w:t>
            </w:r>
          </w:p>
        </w:tc>
        <w:tc>
          <w:tcPr>
            <w:tcW w:w="2112" w:type="pct"/>
            <w:tcBorders>
              <w:left w:val="single" w:color="auto" w:sz="4" w:space="0"/>
              <w:bottom w:val="single" w:color="auto" w:sz="4" w:space="0"/>
              <w:right w:val="single" w:color="auto" w:sz="4" w:space="0"/>
            </w:tcBorders>
            <w:vAlign w:val="center"/>
          </w:tcPr>
          <w:p>
            <w:pPr>
              <w:pStyle w:val="5"/>
              <w:adjustRightInd w:val="0"/>
              <w:snapToGrid w:val="0"/>
              <w:jc w:val="left"/>
              <w:rPr>
                <w:rFonts w:ascii="Times New Roman"/>
              </w:rPr>
            </w:pPr>
            <w:r>
              <w:rPr>
                <w:rFonts w:ascii="Times New Roman"/>
              </w:rPr>
              <w:t>设备设施配备计划科学合理、充足专业性强，得8-10分；</w:t>
            </w:r>
          </w:p>
          <w:p>
            <w:pPr>
              <w:pStyle w:val="5"/>
              <w:adjustRightInd w:val="0"/>
              <w:snapToGrid w:val="0"/>
              <w:jc w:val="left"/>
              <w:rPr>
                <w:rFonts w:ascii="Times New Roman"/>
              </w:rPr>
            </w:pPr>
            <w:r>
              <w:rPr>
                <w:rFonts w:ascii="Times New Roman"/>
              </w:rPr>
              <w:t>设备设施配备计划较科学合理、较充足，得6-8分；</w:t>
            </w:r>
          </w:p>
          <w:p>
            <w:pPr>
              <w:pStyle w:val="5"/>
              <w:adjustRightInd w:val="0"/>
              <w:snapToGrid w:val="0"/>
              <w:jc w:val="left"/>
              <w:rPr>
                <w:rFonts w:ascii="Times New Roman"/>
              </w:rPr>
            </w:pPr>
            <w:r>
              <w:rPr>
                <w:rFonts w:ascii="Times New Roman"/>
              </w:rPr>
              <w:t>设备设施配备计划</w:t>
            </w:r>
            <w:r>
              <w:rPr>
                <w:rFonts w:hint="eastAsia" w:ascii="Times New Roman"/>
              </w:rPr>
              <w:t>基本</w:t>
            </w:r>
            <w:r>
              <w:rPr>
                <w:rFonts w:ascii="Times New Roman"/>
              </w:rPr>
              <w:t>合理，得6分。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2.2.4（2）</w:t>
            </w:r>
          </w:p>
        </w:tc>
        <w:tc>
          <w:tcPr>
            <w:tcW w:w="453" w:type="pc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主要</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人员</w:t>
            </w:r>
          </w:p>
        </w:tc>
        <w:tc>
          <w:tcPr>
            <w:tcW w:w="467" w:type="pc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5</w:t>
            </w:r>
            <w:r>
              <w:rPr>
                <w:rFonts w:ascii="Times New Roman"/>
                <w:snapToGrid w:val="0"/>
                <w:kern w:val="0"/>
              </w:rPr>
              <w:t>分</w:t>
            </w:r>
          </w:p>
        </w:tc>
        <w:tc>
          <w:tcPr>
            <w:tcW w:w="1062" w:type="pc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r>
              <w:rPr>
                <w:rStyle w:val="11"/>
                <w:rFonts w:ascii="Times New Roman"/>
                <w:color w:val="auto"/>
                <w:sz w:val="21"/>
                <w:szCs w:val="21"/>
              </w:rPr>
              <w:t>项目负责人任职资格与业绩</w:t>
            </w:r>
          </w:p>
        </w:tc>
        <w:tc>
          <w:tcPr>
            <w:tcW w:w="457"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5</w:t>
            </w:r>
            <w:r>
              <w:rPr>
                <w:rFonts w:ascii="Times New Roman"/>
                <w:snapToGrid w:val="0"/>
                <w:kern w:val="0"/>
              </w:rPr>
              <w:t>分</w:t>
            </w:r>
          </w:p>
        </w:tc>
        <w:tc>
          <w:tcPr>
            <w:tcW w:w="2112" w:type="pct"/>
            <w:tcBorders>
              <w:left w:val="single" w:color="auto" w:sz="4" w:space="0"/>
              <w:bottom w:val="single" w:color="auto" w:sz="4" w:space="0"/>
              <w:right w:val="single" w:color="auto" w:sz="4" w:space="0"/>
            </w:tcBorders>
            <w:vAlign w:val="center"/>
          </w:tcPr>
          <w:p>
            <w:pPr>
              <w:pStyle w:val="5"/>
              <w:adjustRightInd w:val="0"/>
              <w:snapToGrid w:val="0"/>
              <w:jc w:val="left"/>
              <w:rPr>
                <w:rFonts w:ascii="Times New Roman"/>
              </w:rPr>
            </w:pPr>
            <w:r>
              <w:rPr>
                <w:rFonts w:hint="eastAsia" w:ascii="Times New Roman"/>
              </w:rPr>
              <w:t>满足资格审查条件（项目负责人最低要求）得3分；</w:t>
            </w:r>
          </w:p>
          <w:p>
            <w:pPr>
              <w:pStyle w:val="5"/>
              <w:adjustRightInd w:val="0"/>
              <w:snapToGrid w:val="0"/>
              <w:jc w:val="left"/>
              <w:rPr>
                <w:rFonts w:ascii="Times New Roman"/>
              </w:rPr>
            </w:pPr>
            <w:r>
              <w:rPr>
                <w:rFonts w:hint="eastAsia" w:ascii="Times New Roman"/>
              </w:rPr>
              <w:t>每增加一个满足资格审查条件（项目负责人最低要求）的业绩加1分，最多加2分。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2.2.4（3）</w:t>
            </w:r>
          </w:p>
        </w:tc>
        <w:tc>
          <w:tcPr>
            <w:tcW w:w="453" w:type="pct"/>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评标价</w:t>
            </w:r>
          </w:p>
        </w:tc>
        <w:tc>
          <w:tcPr>
            <w:tcW w:w="467" w:type="pct"/>
            <w:tcBorders>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30</w:t>
            </w:r>
            <w:r>
              <w:rPr>
                <w:rFonts w:ascii="Times New Roman"/>
                <w:snapToGrid w:val="0"/>
                <w:kern w:val="0"/>
              </w:rPr>
              <w:t>分</w:t>
            </w:r>
          </w:p>
        </w:tc>
        <w:tc>
          <w:tcPr>
            <w:tcW w:w="3630" w:type="pct"/>
            <w:gridSpan w:val="3"/>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textAlignment w:val="baseline"/>
              <w:rPr>
                <w:rFonts w:ascii="Times New Roman"/>
                <w:snapToGrid w:val="0"/>
                <w:kern w:val="0"/>
              </w:rPr>
            </w:pPr>
            <w:r>
              <w:rPr>
                <w:rFonts w:ascii="Times New Roman"/>
                <w:snapToGrid w:val="0"/>
                <w:kern w:val="0"/>
              </w:rPr>
              <w:t>评标价得分计算公式示例：</w:t>
            </w:r>
          </w:p>
          <w:p>
            <w:pPr>
              <w:pStyle w:val="5"/>
              <w:adjustRightInd w:val="0"/>
              <w:snapToGrid w:val="0"/>
              <w:spacing w:line="0" w:lineRule="atLeast"/>
              <w:textAlignment w:val="baseline"/>
              <w:rPr>
                <w:rFonts w:ascii="Times New Roman"/>
                <w:snapToGrid w:val="0"/>
                <w:kern w:val="0"/>
              </w:rPr>
            </w:pPr>
            <w:r>
              <w:rPr>
                <w:rFonts w:ascii="Times New Roman"/>
                <w:snapToGrid w:val="0"/>
                <w:kern w:val="0"/>
              </w:rPr>
              <w:t>（1）如果投标人的评标价＞评标基准价，则评标价得分=F-（投标人评标价-评标基准价）/评标基准价×100×E1；</w:t>
            </w:r>
          </w:p>
          <w:p>
            <w:pPr>
              <w:pStyle w:val="5"/>
              <w:adjustRightInd w:val="0"/>
              <w:snapToGrid w:val="0"/>
              <w:spacing w:line="0" w:lineRule="atLeast"/>
              <w:textAlignment w:val="baseline"/>
              <w:rPr>
                <w:rFonts w:ascii="Times New Roman"/>
                <w:snapToGrid w:val="0"/>
                <w:kern w:val="0"/>
              </w:rPr>
            </w:pPr>
            <w:r>
              <w:rPr>
                <w:rFonts w:ascii="Times New Roman"/>
                <w:snapToGrid w:val="0"/>
                <w:kern w:val="0"/>
              </w:rPr>
              <w:t>（2）如果投标人的评标价≤评标基准价，则评标价得分=F+（投标人评标价-评标基准价）/评标基准价×100×E2。</w:t>
            </w:r>
          </w:p>
          <w:p>
            <w:pPr>
              <w:widowControl/>
              <w:adjustRightInd w:val="0"/>
              <w:snapToGrid w:val="0"/>
              <w:spacing w:line="0" w:lineRule="atLeast"/>
              <w:rPr>
                <w:snapToGrid w:val="0"/>
                <w:kern w:val="0"/>
                <w:szCs w:val="21"/>
              </w:rPr>
            </w:pPr>
            <w:r>
              <w:rPr>
                <w:snapToGrid w:val="0"/>
                <w:kern w:val="0"/>
                <w:szCs w:val="21"/>
              </w:rPr>
              <w:t>其中，F=</w:t>
            </w:r>
            <w:r>
              <w:rPr>
                <w:rFonts w:hint="eastAsia"/>
                <w:snapToGrid w:val="0"/>
                <w:kern w:val="0"/>
                <w:szCs w:val="21"/>
              </w:rPr>
              <w:t>30</w:t>
            </w:r>
            <w:r>
              <w:rPr>
                <w:snapToGrid w:val="0"/>
                <w:kern w:val="0"/>
                <w:szCs w:val="21"/>
              </w:rPr>
              <w:t>；E1=0.2；E2=0.1；评标价最低得分为0分</w:t>
            </w:r>
            <w:r>
              <w:rPr>
                <w:rFonts w:hint="eastAsia"/>
                <w:snapToGrid w:val="0"/>
                <w:kern w:val="0"/>
                <w:szCs w:val="21"/>
              </w:rPr>
              <w:t>（评标价得分保留小数点后两位，小数点后第三位四舍五入）</w:t>
            </w:r>
            <w:r>
              <w:rPr>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50" w:type="pc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2.2.4（4）</w:t>
            </w:r>
          </w:p>
        </w:tc>
        <w:tc>
          <w:tcPr>
            <w:tcW w:w="453" w:type="pc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其他</w:t>
            </w:r>
          </w:p>
          <w:p>
            <w:pPr>
              <w:pStyle w:val="5"/>
              <w:adjustRightInd w:val="0"/>
              <w:snapToGrid w:val="0"/>
              <w:spacing w:line="0" w:lineRule="atLeast"/>
              <w:jc w:val="center"/>
              <w:textAlignment w:val="baseline"/>
              <w:rPr>
                <w:rFonts w:ascii="Times New Roman"/>
                <w:snapToGrid w:val="0"/>
                <w:kern w:val="0"/>
              </w:rPr>
            </w:pPr>
            <w:r>
              <w:rPr>
                <w:rFonts w:ascii="Times New Roman"/>
                <w:snapToGrid w:val="0"/>
                <w:kern w:val="0"/>
              </w:rPr>
              <w:t>因素</w:t>
            </w:r>
          </w:p>
        </w:tc>
        <w:tc>
          <w:tcPr>
            <w:tcW w:w="467" w:type="pct"/>
            <w:tcBorders>
              <w:left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15</w:t>
            </w:r>
            <w:r>
              <w:rPr>
                <w:rFonts w:ascii="Times New Roman"/>
                <w:snapToGrid w:val="0"/>
                <w:kern w:val="0"/>
              </w:rPr>
              <w:t>分</w:t>
            </w:r>
          </w:p>
        </w:tc>
        <w:tc>
          <w:tcPr>
            <w:tcW w:w="1062" w:type="pct"/>
            <w:tcBorders>
              <w:top w:val="single" w:color="auto" w:sz="4" w:space="0"/>
              <w:left w:val="single" w:color="auto" w:sz="4" w:space="0"/>
              <w:right w:val="single" w:color="auto" w:sz="4" w:space="0"/>
            </w:tcBorders>
            <w:vAlign w:val="center"/>
          </w:tcPr>
          <w:p>
            <w:pPr>
              <w:pStyle w:val="5"/>
              <w:adjustRightInd w:val="0"/>
              <w:snapToGrid w:val="0"/>
              <w:spacing w:line="0" w:lineRule="atLeast"/>
              <w:jc w:val="center"/>
              <w:textAlignment w:val="baseline"/>
              <w:rPr>
                <w:rStyle w:val="10"/>
                <w:rFonts w:hint="default" w:ascii="Times New Roman" w:hAnsi="Times New Roman" w:cs="Times New Roman"/>
                <w:snapToGrid w:val="0"/>
                <w:color w:val="auto"/>
                <w:kern w:val="0"/>
              </w:rPr>
            </w:pPr>
            <w:r>
              <w:rPr>
                <w:rFonts w:ascii="Times New Roman"/>
                <w:snapToGrid w:val="0"/>
                <w:kern w:val="0"/>
              </w:rPr>
              <w:t>业绩</w:t>
            </w:r>
          </w:p>
        </w:tc>
        <w:tc>
          <w:tcPr>
            <w:tcW w:w="457" w:type="pct"/>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0" w:lineRule="atLeast"/>
              <w:jc w:val="center"/>
              <w:textAlignment w:val="baseline"/>
              <w:rPr>
                <w:rFonts w:ascii="Times New Roman"/>
                <w:snapToGrid w:val="0"/>
                <w:kern w:val="0"/>
              </w:rPr>
            </w:pPr>
            <w:r>
              <w:rPr>
                <w:rFonts w:hint="eastAsia" w:ascii="Times New Roman"/>
                <w:snapToGrid w:val="0"/>
                <w:kern w:val="0"/>
              </w:rPr>
              <w:t>15</w:t>
            </w:r>
            <w:r>
              <w:rPr>
                <w:rFonts w:ascii="Times New Roman"/>
                <w:snapToGrid w:val="0"/>
                <w:kern w:val="0"/>
              </w:rPr>
              <w:t>分</w:t>
            </w:r>
          </w:p>
        </w:tc>
        <w:tc>
          <w:tcPr>
            <w:tcW w:w="2112" w:type="pct"/>
            <w:tcBorders>
              <w:left w:val="single" w:color="auto" w:sz="4" w:space="0"/>
              <w:bottom w:val="single" w:color="auto" w:sz="4" w:space="0"/>
              <w:right w:val="single" w:color="auto" w:sz="4" w:space="0"/>
            </w:tcBorders>
            <w:vAlign w:val="center"/>
          </w:tcPr>
          <w:p>
            <w:pPr>
              <w:pStyle w:val="5"/>
              <w:adjustRightInd w:val="0"/>
              <w:snapToGrid w:val="0"/>
              <w:jc w:val="left"/>
              <w:rPr>
                <w:rFonts w:ascii="Times New Roman"/>
              </w:rPr>
            </w:pPr>
            <w:r>
              <w:t>满</w:t>
            </w:r>
            <w:r>
              <w:rPr>
                <w:rFonts w:ascii="Times New Roman"/>
              </w:rPr>
              <w:t>足资格审查条件（业绩最低要求）得9分；</w:t>
            </w:r>
          </w:p>
          <w:p>
            <w:pPr>
              <w:pStyle w:val="5"/>
              <w:adjustRightInd w:val="0"/>
              <w:snapToGrid w:val="0"/>
              <w:jc w:val="left"/>
              <w:rPr>
                <w:snapToGrid w:val="0"/>
                <w:kern w:val="0"/>
                <w:sz w:val="18"/>
                <w:szCs w:val="18"/>
              </w:rPr>
            </w:pPr>
            <w:r>
              <w:rPr>
                <w:rFonts w:ascii="Times New Roman"/>
              </w:rPr>
              <w:t>每增加一个满足资格审查条件（业绩最低要求）</w:t>
            </w:r>
            <w:r>
              <w:rPr>
                <w:rFonts w:hint="eastAsia" w:ascii="Times New Roman"/>
              </w:rPr>
              <w:t>的</w:t>
            </w:r>
            <w:r>
              <w:rPr>
                <w:rFonts w:ascii="Times New Roman"/>
              </w:rPr>
              <w:t>业绩加3分，最多加6分。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5000" w:type="pct"/>
            <w:gridSpan w:val="6"/>
            <w:tcBorders>
              <w:left w:val="single" w:color="auto" w:sz="4" w:space="0"/>
              <w:bottom w:val="single" w:color="auto" w:sz="4" w:space="0"/>
              <w:right w:val="single" w:color="auto" w:sz="4" w:space="0"/>
            </w:tcBorders>
            <w:vAlign w:val="center"/>
          </w:tcPr>
          <w:p>
            <w:pPr>
              <w:pStyle w:val="5"/>
              <w:adjustRightInd w:val="0"/>
              <w:snapToGrid w:val="0"/>
              <w:spacing w:line="0" w:lineRule="atLeast"/>
              <w:textAlignment w:val="baseline"/>
              <w:rPr>
                <w:rFonts w:ascii="Times New Roman"/>
                <w:snapToGrid w:val="0"/>
                <w:kern w:val="0"/>
              </w:rPr>
            </w:pPr>
            <w:r>
              <w:rPr>
                <w:rFonts w:ascii="Times New Roman"/>
                <w:snapToGrid w:val="0"/>
                <w:kern w:val="0"/>
              </w:rPr>
              <w:t>需要补充的其他内容：</w:t>
            </w:r>
            <w:r>
              <w:rPr>
                <w:rFonts w:hint="eastAsia" w:ascii="Times New Roman"/>
                <w:snapToGrid w:val="0"/>
                <w:kern w:val="0"/>
              </w:rPr>
              <w:t>无</w:t>
            </w:r>
          </w:p>
        </w:tc>
      </w:tr>
    </w:tbl>
    <w:p>
      <w:pPr>
        <w:pStyle w:val="5"/>
        <w:adjustRightInd w:val="0"/>
        <w:snapToGrid w:val="0"/>
        <w:spacing w:line="360" w:lineRule="auto"/>
        <w:jc w:val="left"/>
        <w:textAlignment w:val="baseline"/>
        <w:rPr>
          <w:rFonts w:ascii="Times New Roman"/>
          <w:snapToGrid w:val="0"/>
          <w:kern w:val="0"/>
          <w:sz w:val="24"/>
          <w:szCs w:val="24"/>
        </w:rPr>
      </w:pPr>
      <w:r>
        <w:rPr>
          <w:rFonts w:ascii="Times New Roman"/>
          <w:snapToGrid w:val="0"/>
          <w:kern w:val="0"/>
          <w:sz w:val="24"/>
          <w:szCs w:val="24"/>
        </w:rPr>
        <w:t>注：</w:t>
      </w:r>
      <w:r>
        <w:rPr>
          <w:rFonts w:ascii="Times New Roman"/>
          <w:snapToGrid w:val="0"/>
          <w:kern w:val="0"/>
          <w:sz w:val="24"/>
          <w:szCs w:val="24"/>
          <w:lang w:val="zh-CN"/>
        </w:rPr>
        <w:t>1、各评分因素得分以评标委员会各成员的打分平均值确定，保留2位小数</w:t>
      </w:r>
      <w:r>
        <w:rPr>
          <w:rFonts w:hint="eastAsia" w:ascii="Times New Roman"/>
          <w:snapToGrid w:val="0"/>
          <w:kern w:val="0"/>
          <w:sz w:val="24"/>
          <w:szCs w:val="24"/>
          <w:lang w:val="zh-CN"/>
        </w:rPr>
        <w:t>；</w:t>
      </w:r>
    </w:p>
    <w:p>
      <w:pPr>
        <w:pStyle w:val="5"/>
        <w:adjustRightInd w:val="0"/>
        <w:snapToGrid w:val="0"/>
        <w:spacing w:line="360" w:lineRule="auto"/>
        <w:ind w:firstLine="480" w:firstLineChars="200"/>
        <w:jc w:val="left"/>
        <w:textAlignment w:val="baseline"/>
        <w:rPr>
          <w:rFonts w:ascii="Times New Roman"/>
          <w:snapToGrid w:val="0"/>
          <w:kern w:val="0"/>
          <w:sz w:val="24"/>
          <w:szCs w:val="24"/>
        </w:rPr>
      </w:pPr>
      <w:r>
        <w:rPr>
          <w:rFonts w:ascii="Times New Roman"/>
          <w:snapToGrid w:val="0"/>
          <w:kern w:val="0"/>
          <w:sz w:val="24"/>
          <w:szCs w:val="24"/>
        </w:rPr>
        <w:t>2、技术</w:t>
      </w:r>
      <w:r>
        <w:rPr>
          <w:rFonts w:ascii="Times New Roman"/>
          <w:snapToGrid w:val="0"/>
          <w:kern w:val="0"/>
          <w:sz w:val="24"/>
          <w:szCs w:val="24"/>
          <w:lang w:val="zh-CN"/>
        </w:rPr>
        <w:t>建议书</w:t>
      </w:r>
      <w:r>
        <w:rPr>
          <w:rFonts w:ascii="Times New Roman"/>
          <w:snapToGrid w:val="0"/>
          <w:kern w:val="0"/>
          <w:sz w:val="24"/>
          <w:szCs w:val="24"/>
        </w:rPr>
        <w:t>各评分因素细分项缺项，则该项得0分</w:t>
      </w:r>
      <w:r>
        <w:rPr>
          <w:rFonts w:hint="eastAsia" w:ascii="Times New Roman"/>
          <w:snapToGrid w:val="0"/>
          <w:kern w:val="0"/>
          <w:sz w:val="24"/>
          <w:szCs w:val="24"/>
        </w:rPr>
        <w:t>；</w:t>
      </w:r>
    </w:p>
    <w:p>
      <w:pPr>
        <w:pStyle w:val="5"/>
        <w:adjustRightInd w:val="0"/>
        <w:snapToGrid w:val="0"/>
        <w:spacing w:line="360" w:lineRule="auto"/>
        <w:ind w:firstLine="480" w:firstLineChars="200"/>
        <w:jc w:val="left"/>
        <w:textAlignment w:val="baseline"/>
        <w:rPr>
          <w:rFonts w:ascii="Times New Roman"/>
          <w:snapToGrid w:val="0"/>
          <w:kern w:val="0"/>
          <w:sz w:val="24"/>
          <w:szCs w:val="24"/>
        </w:rPr>
      </w:pPr>
      <w:r>
        <w:rPr>
          <w:rFonts w:hint="eastAsia" w:ascii="Times New Roman"/>
          <w:snapToGrid w:val="0"/>
          <w:kern w:val="0"/>
          <w:sz w:val="24"/>
          <w:szCs w:val="24"/>
        </w:rPr>
        <w:t>3、技术建议书评分时保留1位小数。</w:t>
      </w:r>
    </w:p>
    <w:p>
      <w:bookmarkStart w:id="38" w:name="_GoBack"/>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36C9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pPr>
      <w:spacing w:line="540" w:lineRule="exact"/>
    </w:pPr>
    <w:rPr>
      <w:color w:val="FF0000"/>
    </w:rPr>
  </w:style>
  <w:style w:type="paragraph" w:styleId="5">
    <w:name w:val="Plain Text"/>
    <w:basedOn w:val="1"/>
    <w:qFormat/>
    <w:uiPriority w:val="0"/>
    <w:rPr>
      <w:rFonts w:ascii="宋体"/>
      <w:szCs w:val="21"/>
    </w:rPr>
  </w:style>
  <w:style w:type="character" w:customStyle="1" w:styleId="8">
    <w:name w:val="NormalCharacter"/>
    <w:autoRedefine/>
    <w:qFormat/>
    <w:uiPriority w:val="0"/>
  </w:style>
  <w:style w:type="paragraph" w:customStyle="1" w:styleId="9">
    <w:name w:val="UserStyle_340"/>
    <w:basedOn w:val="1"/>
    <w:autoRedefine/>
    <w:qFormat/>
    <w:uiPriority w:val="0"/>
    <w:pPr>
      <w:widowControl/>
      <w:spacing w:line="340" w:lineRule="exact"/>
      <w:jc w:val="center"/>
    </w:pPr>
    <w:rPr>
      <w:rFonts w:ascii="宋体" w:hAnsi="Calibri"/>
      <w:bCs/>
      <w:color w:val="000000"/>
      <w:kern w:val="0"/>
      <w:szCs w:val="21"/>
    </w:rPr>
  </w:style>
  <w:style w:type="character" w:customStyle="1" w:styleId="10">
    <w:name w:val="正文文本 (2) + 10.5 pt"/>
    <w:autoRedefine/>
    <w:qFormat/>
    <w:uiPriority w:val="0"/>
    <w:rPr>
      <w:rFonts w:hint="eastAsia"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1">
    <w:name w:val="正文文本 (2) + 10 pt"/>
    <w:autoRedefine/>
    <w:qFormat/>
    <w:uiPriority w:val="0"/>
    <w:rPr>
      <w:rFonts w:ascii="宋体" w:hAnsi="宋体" w:eastAsia="宋体" w:cs="宋体"/>
      <w:color w:val="000000"/>
      <w:spacing w:val="0"/>
      <w:w w:val="100"/>
      <w:position w:val="0"/>
      <w:sz w:val="20"/>
      <w:szCs w:val="20"/>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2024-05-29T00:14:12Z</dcterms:created>
  <dc:creator>Administrator</dc:creator>
  <cp:lastModifiedBy>李娜</cp:lastModifiedBy>
  <dcterms:modified xsi:type="dcterms:W3CDTF">2024-05-29T00:14:18Z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C9AF10E38FC24C4EBD26299861D2619E_12</vt:lpwstr>
  </property>
</Properties>
</file>