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06"/>
      </w:tblGrid>
      <w:tr>
        <w:tblPrEx>
          <w:tblBorders>
            <w:top w:val="none" w:color="DDDDDD" w:sz="4" w:space="0"/>
            <w:left w:val="none" w:color="DDDDDD" w:sz="4" w:space="0"/>
            <w:bottom w:val="none" w:color="DDDDDD" w:sz="4" w:space="0"/>
            <w:right w:val="none" w:color="DDDDDD" w:sz="4" w:space="0"/>
            <w:insideH w:val="none" w:color="auto" w:sz="0" w:space="0"/>
            <w:insideV w:val="none" w:color="auto" w:sz="0" w:space="0"/>
          </w:tblBorders>
          <w:shd w:val="clear" w:color="auto" w:fill="auto"/>
          <w:tblCellMar>
            <w:top w:w="15" w:type="dxa"/>
            <w:left w:w="15" w:type="dxa"/>
            <w:bottom w:w="15" w:type="dxa"/>
            <w:right w:w="15" w:type="dxa"/>
          </w:tblCellMar>
        </w:tblPrEx>
        <w:tc>
          <w:tcPr>
            <w:tcW w:w="1600" w:type="dxa"/>
            <w:tcBorders>
              <w:top w:val="nil"/>
              <w:left w:val="nil"/>
              <w:bottom w:val="nil"/>
              <w:right w:val="nil"/>
            </w:tcBorders>
            <w:shd w:val="clear" w:color="auto" w:fill="auto"/>
            <w:tcMar>
              <w:top w:w="50" w:type="dxa"/>
              <w:left w:w="50" w:type="dxa"/>
              <w:bottom w:w="50" w:type="dxa"/>
              <w:right w:w="50" w:type="dxa"/>
            </w:tcMar>
            <w:vAlign w:val="center"/>
          </w:tcPr>
          <w:p>
            <w:pPr>
              <w:pStyle w:val="2"/>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sz w:val="21"/>
                <w:szCs w:val="21"/>
              </w:rPr>
            </w:pPr>
            <w:bookmarkStart w:id="0" w:name="_GoBack"/>
            <w:r>
              <w:rPr>
                <w:rFonts w:hint="eastAsia" w:ascii="仿宋" w:hAnsi="仿宋" w:eastAsia="仿宋" w:cs="仿宋"/>
                <w:color w:val="000000"/>
                <w:sz w:val="21"/>
                <w:szCs w:val="21"/>
              </w:rPr>
              <w:t>河北高速公路集团有限公司大广高速公路智慧化提升项目设备采购1标段中标候选人公示</w:t>
            </w:r>
          </w:p>
        </w:tc>
      </w:tr>
      <w:tr>
        <w:tblPrEx>
          <w:tblBorders>
            <w:top w:val="none" w:color="DDDDDD" w:sz="4" w:space="0"/>
            <w:left w:val="none" w:color="DDDDDD" w:sz="4" w:space="0"/>
            <w:bottom w:val="none" w:color="DDDDDD" w:sz="4" w:space="0"/>
            <w:right w:val="none" w:color="DDDDDD" w:sz="4"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nil"/>
              <w:bottom w:val="nil"/>
              <w:right w:val="nil"/>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招标项目名称：河北高速公路集团有限公司大广高速公路智慧化提升项目设备采购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招标项目编号：JT-HW-2024-020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公示内容： </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43"/>
              <w:gridCol w:w="4153"/>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8650" w:type="dxa"/>
                  <w:gridSpan w:val="2"/>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标段：河北高速公路集团有限公司大广高速公路智慧化提升项目设备采购1标段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所属专业：交通运输、仓储和邮政业/道路运输业 </w:t>
                  </w:r>
                </w:p>
              </w:tc>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所属地区：石家庄市-市辖区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开标时间：2024-05-29 </w:t>
                  </w:r>
                </w:p>
              </w:tc>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开标地点：河北省公共资源交易中心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公示开始日期：2024-06-21 </w:t>
                  </w:r>
                </w:p>
              </w:tc>
              <w:tc>
                <w:tcPr>
                  <w:tcW w:w="43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公示截止日期：2024-06-24</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1.中标候选人名单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1"/>
              <w:gridCol w:w="2063"/>
              <w:gridCol w:w="1368"/>
              <w:gridCol w:w="1368"/>
              <w:gridCol w:w="1441"/>
              <w:gridCol w:w="1435"/>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排序</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中标候选人单位名称</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投标价格</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(单位：元) </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评标价格</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(单位：元) </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质量标准 </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工期</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（交货期）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石家庄天一晶电子</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科技有限公司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2000280</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2000280</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合格</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计划开始交货日期2024年6月，2024年7月底前完成所有供货工作</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北京动视元科技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2278000</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2278000</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国家标准和招标文件规定</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10天</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w:t>
                  </w:r>
                </w:p>
              </w:tc>
              <w:tc>
                <w:tcPr>
                  <w:tcW w:w="21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南京隼眼电子科技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2613700</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2613700</w:t>
                  </w:r>
                </w:p>
              </w:tc>
              <w:tc>
                <w:tcPr>
                  <w:tcW w:w="15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符合本项目招标文件要求</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2024年7月15日前</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2.中标候选人项目负责人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3"/>
              <w:gridCol w:w="1988"/>
              <w:gridCol w:w="1362"/>
              <w:gridCol w:w="1011"/>
              <w:gridCol w:w="1523"/>
              <w:gridCol w:w="1789"/>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排序</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中标候选人单位</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名称</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项目负责人</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姓名</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职称</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相关证书名称</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相关证书编号</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石家庄天一晶电子科技有限公司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彭少华</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北京动视元科技有限公司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沈炜</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南京隼眼电子科技有限公司</w:t>
                  </w:r>
                </w:p>
              </w:tc>
              <w:tc>
                <w:tcPr>
                  <w:tcW w:w="1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施雪松</w:t>
                  </w:r>
                </w:p>
              </w:tc>
              <w:tc>
                <w:tcPr>
                  <w:tcW w:w="10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c>
                <w:tcPr>
                  <w:tcW w:w="187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3.中标候选人响应招标文件要求的资格能力条件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1"/>
              <w:gridCol w:w="3625"/>
              <w:gridCol w:w="3960"/>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排序 </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中标候选人名称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响应情况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满足招标文件要求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北京动视元科技有限公司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满足招标文件要求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7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w:t>
                  </w:r>
                </w:p>
              </w:tc>
              <w:tc>
                <w:tcPr>
                  <w:tcW w:w="37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南京隼眼电子科技有限公司 </w:t>
                  </w:r>
                </w:p>
              </w:tc>
              <w:tc>
                <w:tcPr>
                  <w:tcW w:w="4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left"/>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 xml:space="preserve">满足招标文件要求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4.（1）中标候选人企业业绩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983"/>
              <w:gridCol w:w="1539"/>
              <w:gridCol w:w="1384"/>
              <w:gridCol w:w="1378"/>
              <w:gridCol w:w="1390"/>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序号</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中标候选人名称</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中标工程名称</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建设单位</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合同签订时间</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合同签订金额(单位：元)</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石家庄天一晶电子科技有限公司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京哈高速公路智能化建设项目二期</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招商智广科技(安徽)有限公司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2022-12-23</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8336580</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北京动视元科技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山东济广高速公路济南至菏泽段改扩建工程机电工程</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山东中皓科技发展有限公司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2023-09-11</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6313000</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北京动视元科技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广东珠海市金海公路大桥机电工程设计施工总承包项目</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广东新粤交通投资有限公司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2023-06-01</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244800</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4</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北京动视元科技</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河南交通投资集团有限公司三门峡分公司呼北高速崤山和熊耳山隧道车辆异常状态监测平台项目结构化分析服务器等采购合同</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河南中天高新智能科技股份有限公司洛阳分公司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2023-12-15</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678324</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5</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南京隼眼电子科技有限公司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蜀道集团-四川成宜智慧高速建设项目</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四川数字交通科技股份有限公司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2022-09-23</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32140500</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6</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南京隼眼电子科技有限公司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苏锡常南部高速公路常州至无锡段机电工程施工项目智慧融合感知平台设备</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南京宁锐捷视讯科技有限公司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2023-12-29</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1350000</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7</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南京隼眼电子科技有限公司</w:t>
                  </w:r>
                </w:p>
              </w:tc>
              <w:tc>
                <w:tcPr>
                  <w:tcW w:w="16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蜀道集团-四川成宜智慧高速建设项目</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四川数字交通科技股份有限公司</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2022-09-21</w:t>
                  </w:r>
                </w:p>
              </w:tc>
              <w:tc>
                <w:tcPr>
                  <w:tcW w:w="14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000000"/>
                      <w:kern w:val="0"/>
                      <w:sz w:val="21"/>
                      <w:szCs w:val="21"/>
                      <w:lang w:val="en-US" w:eastAsia="zh-CN" w:bidi="ar"/>
                    </w:rPr>
                    <w:t>14973000</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4.（2）中标候选人项目负责人业绩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2"/>
              <w:gridCol w:w="1746"/>
              <w:gridCol w:w="1189"/>
              <w:gridCol w:w="1491"/>
              <w:gridCol w:w="1085"/>
              <w:gridCol w:w="1085"/>
              <w:gridCol w:w="1078"/>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18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中标候选人名称 </w:t>
                  </w:r>
                </w:p>
              </w:tc>
              <w:tc>
                <w:tcPr>
                  <w:tcW w:w="12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项目负责人 </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中标工程名称 </w:t>
                  </w:r>
                </w:p>
              </w:tc>
              <w:tc>
                <w:tcPr>
                  <w:tcW w:w="1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建设单位 </w:t>
                  </w:r>
                </w:p>
              </w:tc>
              <w:tc>
                <w:tcPr>
                  <w:tcW w:w="11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合同签订时间 </w:t>
                  </w:r>
                </w:p>
              </w:tc>
              <w:tc>
                <w:tcPr>
                  <w:tcW w:w="111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合同签订金额(单位：元)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5.（1）所有投标人商务标评分情况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8"/>
              <w:gridCol w:w="1988"/>
              <w:gridCol w:w="1112"/>
              <w:gridCol w:w="1112"/>
              <w:gridCol w:w="1112"/>
              <w:gridCol w:w="1112"/>
              <w:gridCol w:w="1112"/>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单位名称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评委A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评委B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评委C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评委D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北京动视元科技有限公司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南京隼眼电子科技有限公司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华睿交通科技股份有限公司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南京慧尔视智能科技有限公司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河北上元智能科技股份有限公司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河北友朋信息科技有限公司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河北德冠隆电子科技有限公司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9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河北冀翔通电子科技有限公司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10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北京万集科技股份有限公司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5.（2）所有投标人技术标评分情况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8"/>
              <w:gridCol w:w="1988"/>
              <w:gridCol w:w="1112"/>
              <w:gridCol w:w="1112"/>
              <w:gridCol w:w="1112"/>
              <w:gridCol w:w="1112"/>
              <w:gridCol w:w="1112"/>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单位名称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评委A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评委B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评委C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评委D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评委E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北京动视元科技有限公司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南京隼眼电子科技有限公司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华睿交通科技股份有限公司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南京慧尔视智能科技有限公司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河北上元智能科技股份有限公司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河北友朋信息科技有限公司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河北德冠隆电子科技有限公司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9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河北冀翔通电子科技有限公司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10 </w:t>
                  </w:r>
                </w:p>
              </w:tc>
              <w:tc>
                <w:tcPr>
                  <w:tcW w:w="17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北京万集科技股份有限公司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c>
                <w:tcPr>
                  <w:tcW w:w="95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5.（3）所有投标人或供应商总得分情况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4"/>
              <w:gridCol w:w="3348"/>
              <w:gridCol w:w="1995"/>
              <w:gridCol w:w="2329"/>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单位名称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报价得分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总得分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石家庄天一晶电子科技有限公司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北京动视元科技有限公司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南京隼眼电子科技有限公司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4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华睿交通科技股份有限公司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5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南京慧尔视智能科技有限公司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河北上元智能科技股份有限公司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7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河北友朋信息科技有限公司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河北德冠隆电子科技有限公司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9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河北冀翔通电子科技有限公司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10 </w:t>
                  </w:r>
                </w:p>
              </w:tc>
              <w:tc>
                <w:tcPr>
                  <w:tcW w:w="35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北京万集科技股份有限公司 </w:t>
                  </w:r>
                </w:p>
              </w:tc>
              <w:tc>
                <w:tcPr>
                  <w:tcW w:w="208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c>
                <w:tcPr>
                  <w:tcW w:w="243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0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6.投标文件被否决的投标人名称、否决原因 </w:t>
            </w:r>
          </w:p>
          <w:tbl>
            <w:tblPr>
              <w:tblStyle w:val="4"/>
              <w:tblW w:w="5000" w:type="pct"/>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4"/>
              <w:gridCol w:w="3435"/>
              <w:gridCol w:w="4237"/>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序号 </w:t>
                  </w:r>
                </w:p>
              </w:tc>
              <w:tc>
                <w:tcPr>
                  <w:tcW w:w="3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投标人名称 </w:t>
                  </w:r>
                </w:p>
              </w:tc>
              <w:tc>
                <w:tcPr>
                  <w:tcW w:w="4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否决原因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 </w:t>
                  </w:r>
                </w:p>
              </w:tc>
              <w:tc>
                <w:tcPr>
                  <w:tcW w:w="3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华睿交通科技股份有限公司 </w:t>
                  </w:r>
                </w:p>
              </w:tc>
              <w:tc>
                <w:tcPr>
                  <w:tcW w:w="4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质量保证期不满足招标文件要求，未通过技术暗标评审，评标委员会否决其投标。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w:t>
                  </w:r>
                </w:p>
              </w:tc>
              <w:tc>
                <w:tcPr>
                  <w:tcW w:w="3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南京慧尔视智能科技有限公司 </w:t>
                  </w:r>
                </w:p>
              </w:tc>
              <w:tc>
                <w:tcPr>
                  <w:tcW w:w="4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质量保证期不满足招标文件要求，未通过技术暗标评审，评标委员会否决其投标。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rPr>
                <w:trHeight w:val="400"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 </w:t>
                  </w:r>
                </w:p>
              </w:tc>
              <w:tc>
                <w:tcPr>
                  <w:tcW w:w="359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河北上元智能科技股份有限公司 </w:t>
                  </w:r>
                </w:p>
              </w:tc>
              <w:tc>
                <w:tcPr>
                  <w:tcW w:w="442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提供的业绩证明材料为制造商的业绩，不满足招标文件要求，不能通过资格评审，评标委员会否决其投标。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7.提出异议的渠道和方式：投标人或其他利害关系人对本招标项目的评标结果有异议的，可在公示期向招标人或招标代理机构提出。</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联系方式 </w:t>
            </w:r>
          </w:p>
          <w:tbl>
            <w:tblPr>
              <w:tblStyle w:val="4"/>
              <w:tblW w:w="8296" w:type="dxa"/>
              <w:tblInd w:w="-5" w:type="dxa"/>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44"/>
              <w:gridCol w:w="4252"/>
            </w:tblGrid>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0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招标人：河北高速公路集团有限公司 </w:t>
                  </w:r>
                </w:p>
              </w:tc>
              <w:tc>
                <w:tcPr>
                  <w:tcW w:w="425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招标代理机构：河北省成套招标有限公司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shd w:val="clear" w:color="auto" w:fill="auto"/>
                <w:tblCellMar>
                  <w:top w:w="0" w:type="dxa"/>
                  <w:left w:w="0" w:type="dxa"/>
                  <w:bottom w:w="0" w:type="dxa"/>
                  <w:right w:w="0" w:type="dxa"/>
                </w:tblCellMar>
              </w:tblPrEx>
              <w:tc>
                <w:tcPr>
                  <w:tcW w:w="40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地址：河北省石家庄市长安区裕华东路509号 </w:t>
                  </w:r>
                </w:p>
              </w:tc>
              <w:tc>
                <w:tcPr>
                  <w:tcW w:w="425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地址：石家庄桥西区工农路486号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0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联系人：周靖、李聪康、李春泽、王嘉惠 </w:t>
                  </w:r>
                </w:p>
              </w:tc>
              <w:tc>
                <w:tcPr>
                  <w:tcW w:w="425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联系人：刘严如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0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电话：0311-66726762、0318-6941676 </w:t>
                  </w:r>
                </w:p>
              </w:tc>
              <w:tc>
                <w:tcPr>
                  <w:tcW w:w="425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电话：0311-83086970、18632190282 </w:t>
                  </w:r>
                </w:p>
              </w:tc>
            </w:tr>
            <w:tr>
              <w:tblPrEx>
                <w:tblBorders>
                  <w:top w:val="outset" w:color="DDDDDD" w:sz="4" w:space="0"/>
                  <w:left w:val="outset" w:color="DDDDDD" w:sz="4" w:space="0"/>
                  <w:bottom w:val="outset" w:color="DDDDDD" w:sz="4" w:space="0"/>
                  <w:right w:val="outset" w:color="DDDDDD" w:sz="4" w:space="0"/>
                  <w:insideH w:val="outset" w:color="auto" w:sz="6" w:space="0"/>
                  <w:insideV w:val="outset" w:color="auto" w:sz="6" w:space="0"/>
                </w:tblBorders>
                <w:tblCellMar>
                  <w:top w:w="0" w:type="dxa"/>
                  <w:left w:w="0" w:type="dxa"/>
                  <w:bottom w:w="0" w:type="dxa"/>
                  <w:right w:w="0" w:type="dxa"/>
                </w:tblCellMar>
              </w:tblPrEx>
              <w:tc>
                <w:tcPr>
                  <w:tcW w:w="40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电子邮箱：- </w:t>
                  </w:r>
                </w:p>
              </w:tc>
              <w:tc>
                <w:tcPr>
                  <w:tcW w:w="425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top"/>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电子邮箱：hbctxm2c@vip.163.com </w:t>
                  </w:r>
                </w:p>
              </w:tc>
            </w:tr>
          </w:tbl>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8.其他公示内容： </w:t>
            </w:r>
          </w:p>
          <w:p>
            <w:pPr>
              <w:pStyle w:val="3"/>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textAlignment w:val="auto"/>
              <w:rPr>
                <w:rFonts w:hint="eastAsia" w:ascii="仿宋" w:hAnsi="仿宋" w:eastAsia="仿宋" w:cs="仿宋"/>
                <w:sz w:val="21"/>
                <w:szCs w:val="21"/>
                <w:lang w:eastAsia="zh-CN"/>
              </w:rPr>
            </w:pPr>
            <w:r>
              <w:rPr>
                <w:rFonts w:hint="eastAsia" w:ascii="仿宋" w:hAnsi="仿宋" w:eastAsia="仿宋" w:cs="仿宋"/>
                <w:i w:val="0"/>
                <w:iCs w:val="0"/>
                <w:color w:val="000000"/>
                <w:sz w:val="21"/>
                <w:szCs w:val="21"/>
              </w:rPr>
              <w:t>本项目采用经评审的最低评标价法，不进行评分</w:t>
            </w:r>
            <w:r>
              <w:rPr>
                <w:rFonts w:hint="eastAsia" w:ascii="仿宋" w:hAnsi="仿宋" w:eastAsia="仿宋" w:cs="仿宋"/>
                <w:i w:val="0"/>
                <w:iCs w:val="0"/>
                <w:color w:val="000000"/>
                <w:sz w:val="21"/>
                <w:szCs w:val="21"/>
                <w:lang w:eastAsia="zh-CN"/>
              </w:rPr>
              <w:t>。</w:t>
            </w:r>
          </w:p>
        </w:tc>
      </w:tr>
    </w:tbl>
    <w:p>
      <w:pPr>
        <w:keepNext w:val="0"/>
        <w:keepLines w:val="0"/>
        <w:pageBreakBefore w:val="0"/>
        <w:kinsoku/>
        <w:overflowPunct/>
        <w:topLinePunct w:val="0"/>
        <w:autoSpaceDE/>
        <w:autoSpaceDN/>
        <w:bidi w:val="0"/>
        <w:adjustRightInd w:val="0"/>
        <w:snapToGrid w:val="0"/>
        <w:spacing w:beforeAutospacing="0" w:afterAutospacing="0" w:line="240" w:lineRule="auto"/>
        <w:textAlignment w:val="auto"/>
        <w:rPr>
          <w:rFonts w:hint="eastAsia" w:ascii="仿宋" w:hAnsi="仿宋" w:eastAsia="仿宋" w:cs="仿宋"/>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GFkYTI2OTZiMGZmNGQ5ZDg3YjcyMDJjYzEzMmEifQ=="/>
  </w:docVars>
  <w:rsids>
    <w:rsidRoot w:val="00000000"/>
    <w:rsid w:val="187E3E1B"/>
    <w:rsid w:val="232F19D7"/>
    <w:rsid w:val="26307F40"/>
    <w:rsid w:val="2B8578CA"/>
    <w:rsid w:val="4954067A"/>
    <w:rsid w:val="55D707A2"/>
    <w:rsid w:val="7136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snapToGrid w:val="0"/>
      <w:kern w:val="0"/>
      <w:sz w:val="24"/>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hover39"/>
    <w:basedOn w:val="5"/>
    <w:uiPriority w:val="0"/>
    <w:rPr>
      <w:color w:val="FFFFFF"/>
      <w:shd w:val="clear" w:fill="1F80E6"/>
    </w:rPr>
  </w:style>
  <w:style w:type="character" w:customStyle="1" w:styleId="9">
    <w:name w:val="hover40"/>
    <w:basedOn w:val="5"/>
    <w:qFormat/>
    <w:uiPriority w:val="0"/>
    <w:rPr>
      <w:color w:val="FF0000"/>
    </w:rPr>
  </w:style>
  <w:style w:type="character" w:customStyle="1" w:styleId="10">
    <w:name w:val="hover41"/>
    <w:basedOn w:val="5"/>
    <w:uiPriority w:val="0"/>
    <w:rPr>
      <w:color w:val="FFFFFF"/>
      <w:shd w:val="clear" w:fill="1F80E6"/>
    </w:rPr>
  </w:style>
  <w:style w:type="character" w:customStyle="1" w:styleId="11">
    <w:name w:val="layui-layer-tabnow"/>
    <w:basedOn w:val="5"/>
    <w:qFormat/>
    <w:uiPriority w:val="0"/>
    <w:rPr>
      <w:bdr w:val="single" w:color="CCCCCC" w:sz="4" w:space="0"/>
      <w:shd w:val="clear" w:fill="FFFFFF"/>
    </w:rPr>
  </w:style>
  <w:style w:type="character" w:customStyle="1" w:styleId="12">
    <w:name w:val="first-child"/>
    <w:basedOn w:val="5"/>
    <w:qFormat/>
    <w:uiPriority w:val="0"/>
  </w:style>
  <w:style w:type="character" w:customStyle="1" w:styleId="13">
    <w:name w:val="active17"/>
    <w:basedOn w:val="5"/>
    <w:qFormat/>
    <w:uiPriority w:val="0"/>
    <w:rPr>
      <w:color w:val="FFFFFF"/>
      <w:shd w:val="clear" w:fill="2B70B8"/>
    </w:rPr>
  </w:style>
  <w:style w:type="character" w:customStyle="1" w:styleId="14">
    <w:name w:val="active18"/>
    <w:basedOn w:val="5"/>
    <w:qFormat/>
    <w:uiPriority w:val="0"/>
    <w:rPr>
      <w:color w:val="FFFFFF"/>
      <w:shd w:val="clear" w:fill="1F80E6"/>
    </w:rPr>
  </w:style>
  <w:style w:type="character" w:customStyle="1" w:styleId="15">
    <w:name w:val="panel_title"/>
    <w:basedOn w:val="5"/>
    <w:qFormat/>
    <w:uiPriority w:val="0"/>
  </w:style>
  <w:style w:type="character" w:customStyle="1" w:styleId="16">
    <w:name w:val="today"/>
    <w:basedOn w:val="5"/>
    <w:qFormat/>
    <w:uiPriority w:val="0"/>
    <w:rPr>
      <w:color w:val="737373"/>
    </w:rPr>
  </w:style>
  <w:style w:type="character" w:customStyle="1" w:styleId="17">
    <w:name w:val="current"/>
    <w:basedOn w:val="5"/>
    <w:qFormat/>
    <w:uiPriority w:val="0"/>
    <w:rPr>
      <w:shd w:val="clear" w:fill="1F80E6"/>
    </w:rPr>
  </w:style>
  <w:style w:type="character" w:customStyle="1" w:styleId="18">
    <w:name w:val="infro_laiyuan2"/>
    <w:basedOn w:val="5"/>
    <w:qFormat/>
    <w:uiPriority w:val="0"/>
    <w:rPr>
      <w:b/>
      <w:bCs/>
      <w:color w:val="0099C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2352</Characters>
  <Lines>0</Lines>
  <Paragraphs>0</Paragraphs>
  <TotalTime>16</TotalTime>
  <ScaleCrop>false</ScaleCrop>
  <LinksUpToDate>false</LinksUpToDate>
  <CharactersWithSpaces>2613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2023-02-06T01:14:00Z</dcterms:created>
  <dc:creator>成套-项目二-刘</dc:creator>
  <cp:lastModifiedBy>SherGIo</cp:lastModifiedBy>
  <dcterms:modified xsi:type="dcterms:W3CDTF">2024-06-20T02:44:09Z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7A8A59408D9844A5B5111C1E344B0746</vt:lpwstr>
  </property>
</Properties>
</file>