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BD" w:rsidRDefault="00AE5EBD" w:rsidP="00AE5EBD">
      <w:pPr>
        <w:pStyle w:val="3"/>
        <w:spacing w:before="0" w:after="0" w:line="360" w:lineRule="auto"/>
        <w:rPr>
          <w:rFonts w:ascii="宋体" w:hAnsi="宋体"/>
          <w:b w:val="0"/>
          <w:sz w:val="24"/>
        </w:rPr>
      </w:pPr>
      <w:bookmarkStart w:id="0" w:name="_Toc111638756"/>
      <w:bookmarkStart w:id="1" w:name="_Toc111638816"/>
      <w:bookmarkStart w:id="2" w:name="_Toc134890443"/>
      <w:bookmarkStart w:id="3" w:name="_Toc134792340"/>
      <w:bookmarkStart w:id="4" w:name="_Toc134792891"/>
      <w:bookmarkStart w:id="5" w:name="_Toc21002"/>
      <w:bookmarkStart w:id="6" w:name="_Toc172307957"/>
      <w:r>
        <w:rPr>
          <w:rFonts w:ascii="黑体" w:eastAsia="黑体" w:hAnsi="黑体" w:hint="eastAsia"/>
          <w:sz w:val="28"/>
          <w:szCs w:val="28"/>
        </w:rPr>
        <w:t>附件3：评标办法</w:t>
      </w:r>
      <w:bookmarkEnd w:id="2"/>
      <w:bookmarkEnd w:id="3"/>
      <w:bookmarkEnd w:id="4"/>
      <w:bookmarkEnd w:id="5"/>
      <w:bookmarkEnd w:id="6"/>
    </w:p>
    <w:p w:rsidR="00AE5EBD" w:rsidRDefault="00AE5EBD" w:rsidP="00AE5EBD">
      <w:pPr>
        <w:snapToGrid w:val="0"/>
        <w:spacing w:line="360" w:lineRule="auto"/>
        <w:ind w:firstLine="480"/>
        <w:jc w:val="center"/>
        <w:textAlignment w:val="baseline"/>
        <w:rPr>
          <w:rFonts w:ascii="宋体" w:hAnsi="宋体"/>
          <w:b/>
          <w:bCs/>
          <w:sz w:val="24"/>
        </w:rPr>
      </w:pPr>
      <w:bookmarkStart w:id="7" w:name="_Toc531949857"/>
      <w:bookmarkStart w:id="8" w:name="_Toc459307890"/>
      <w:bookmarkStart w:id="9" w:name="_Toc509660966"/>
      <w:bookmarkStart w:id="10" w:name="_Toc134792409"/>
      <w:bookmarkStart w:id="11" w:name="_Toc450319202"/>
      <w:bookmarkStart w:id="12" w:name="_Toc134792892"/>
      <w:bookmarkStart w:id="13" w:name="_Toc502992691"/>
      <w:bookmarkStart w:id="14" w:name="_Toc509659998"/>
      <w:bookmarkStart w:id="15" w:name="_Toc134792341"/>
      <w:bookmarkStart w:id="16" w:name="_Toc134890522"/>
      <w:bookmarkStart w:id="17" w:name="_Toc134890444"/>
      <w:bookmarkStart w:id="18" w:name="_Toc445382083"/>
      <w:bookmarkStart w:id="19" w:name="_Toc444088432"/>
      <w:bookmarkStart w:id="20" w:name="_Toc444271617"/>
      <w:bookmarkStart w:id="21" w:name="_Toc445222503"/>
      <w:r>
        <w:rPr>
          <w:rFonts w:ascii="宋体" w:hAnsi="宋体" w:hint="eastAsia"/>
          <w:b/>
          <w:bCs/>
          <w:sz w:val="24"/>
        </w:rPr>
        <w:t>评标办法（综合评估法）</w:t>
      </w:r>
      <w:bookmarkEnd w:id="7"/>
      <w:bookmarkEnd w:id="8"/>
      <w:bookmarkEnd w:id="9"/>
      <w:bookmarkEnd w:id="10"/>
      <w:bookmarkEnd w:id="11"/>
      <w:bookmarkEnd w:id="12"/>
      <w:bookmarkEnd w:id="13"/>
      <w:bookmarkEnd w:id="14"/>
      <w:bookmarkEnd w:id="15"/>
      <w:bookmarkEnd w:id="16"/>
      <w:bookmarkEnd w:id="17"/>
    </w:p>
    <w:p w:rsidR="00AE5EBD" w:rsidRDefault="00AE5EBD" w:rsidP="00AE5EBD">
      <w:pPr>
        <w:snapToGrid w:val="0"/>
        <w:spacing w:line="360" w:lineRule="auto"/>
        <w:textAlignment w:val="baseline"/>
        <w:rPr>
          <w:rFonts w:ascii="宋体" w:hAnsi="宋体"/>
          <w:b/>
          <w:bCs/>
          <w:sz w:val="24"/>
        </w:rPr>
      </w:pPr>
      <w:r>
        <w:rPr>
          <w:rFonts w:ascii="宋体" w:hAnsi="宋体" w:hint="eastAsia"/>
          <w:b/>
          <w:bCs/>
          <w:sz w:val="24"/>
        </w:rPr>
        <w:t>评标办法前附表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067"/>
        <w:gridCol w:w="6573"/>
      </w:tblGrid>
      <w:tr w:rsidR="00AE5EBD" w:rsidTr="00A64460">
        <w:trPr>
          <w:trHeight w:val="380"/>
          <w:tblHeader/>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黑体" w:eastAsia="黑体" w:hAnsi="黑体" w:cs="黑体"/>
                <w:szCs w:val="21"/>
              </w:rPr>
            </w:pPr>
            <w:bookmarkStart w:id="22" w:name="_Toc134792893"/>
            <w:bookmarkStart w:id="23" w:name="_Toc531949858"/>
            <w:bookmarkStart w:id="24" w:name="_Toc134792410"/>
            <w:bookmarkStart w:id="25" w:name="_Toc134890523"/>
            <w:bookmarkStart w:id="26" w:name="_Toc134792342"/>
            <w:bookmarkStart w:id="27" w:name="_Toc134890445"/>
            <w:r>
              <w:rPr>
                <w:rFonts w:ascii="黑体" w:eastAsia="黑体" w:hAnsi="黑体" w:cs="黑体" w:hint="eastAsia"/>
                <w:szCs w:val="21"/>
              </w:rPr>
              <w:t>条款号</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黑体" w:eastAsia="黑体" w:hAnsi="黑体" w:cs="黑体"/>
                <w:szCs w:val="21"/>
              </w:rPr>
            </w:pPr>
            <w:r>
              <w:rPr>
                <w:rFonts w:ascii="黑体" w:eastAsia="黑体" w:hAnsi="黑体" w:cs="黑体" w:hint="eastAsia"/>
                <w:szCs w:val="21"/>
              </w:rPr>
              <w:t>条款名称</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ind w:firstLineChars="200" w:firstLine="420"/>
              <w:jc w:val="center"/>
              <w:textAlignment w:val="baseline"/>
              <w:rPr>
                <w:rFonts w:ascii="黑体" w:eastAsia="黑体" w:hAnsi="黑体" w:cs="黑体"/>
                <w:szCs w:val="21"/>
              </w:rPr>
            </w:pPr>
            <w:r>
              <w:rPr>
                <w:rFonts w:ascii="黑体" w:eastAsia="黑体" w:hAnsi="黑体" w:cs="黑体" w:hint="eastAsia"/>
                <w:szCs w:val="21"/>
              </w:rPr>
              <w:t>评审因素与评审标准</w:t>
            </w:r>
          </w:p>
        </w:tc>
      </w:tr>
      <w:tr w:rsidR="00AE5EBD" w:rsidTr="00A64460">
        <w:trPr>
          <w:trHeight w:val="1134"/>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ind w:firstLineChars="200" w:firstLine="420"/>
              <w:textAlignment w:val="baseline"/>
              <w:rPr>
                <w:rFonts w:asciiTheme="minorEastAsia" w:eastAsiaTheme="minorEastAsia" w:hAnsiTheme="minorEastAsia"/>
                <w:szCs w:val="21"/>
              </w:rPr>
            </w:pPr>
            <w:r>
              <w:rPr>
                <w:rFonts w:asciiTheme="minorEastAsia" w:eastAsiaTheme="minorEastAsia" w:hAnsiTheme="minorEastAsia" w:hint="eastAsia"/>
                <w:szCs w:val="21"/>
              </w:rPr>
              <w:t>1</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宋体" w:hAnsi="宋体" w:hint="eastAsia"/>
                <w:szCs w:val="21"/>
              </w:rPr>
              <w:t>评标办法</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（1）评标价低的投标人优先；</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（2）技术建议书得分较高的投标人优先；</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（3）投标人满足资格审查条件(业绩最低条件)要求的业绩累计金额高的优先。</w:t>
            </w:r>
          </w:p>
          <w:p w:rsidR="00AE5EBD" w:rsidRDefault="00AE5EBD" w:rsidP="00A64460">
            <w:pPr>
              <w:spacing w:line="24" w:lineRule="atLeast"/>
              <w:ind w:firstLineChars="200" w:firstLine="404"/>
              <w:jc w:val="left"/>
              <w:textAlignment w:val="baseline"/>
              <w:rPr>
                <w:rFonts w:asciiTheme="minorEastAsia" w:eastAsiaTheme="minorEastAsia" w:hAnsiTheme="minorEastAsia"/>
                <w:spacing w:val="-4"/>
                <w:szCs w:val="21"/>
              </w:rPr>
            </w:pPr>
            <w:r>
              <w:rPr>
                <w:rFonts w:ascii="宋体" w:hAnsi="宋体" w:hint="eastAsia"/>
                <w:spacing w:val="-4"/>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rsidR="00AE5EBD" w:rsidTr="00A64460">
        <w:trPr>
          <w:trHeight w:val="799"/>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2.1.1</w:t>
            </w:r>
          </w:p>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2.1.3</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形式评审与响应性评审标准</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tcPr>
          <w:p w:rsidR="00AE5EBD" w:rsidRDefault="00AE5EBD" w:rsidP="00A64460">
            <w:pPr>
              <w:snapToGrid w:val="0"/>
              <w:spacing w:line="24" w:lineRule="atLeast"/>
              <w:jc w:val="left"/>
              <w:textAlignment w:val="baseline"/>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第一个信封（商务文件）评审标准：</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）投标文件按照招标文件规定的格式、内容填写，字迹清晰可辨。</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roofErr w:type="gramStart"/>
            <w:r>
              <w:rPr>
                <w:rFonts w:asciiTheme="minorEastAsia" w:eastAsiaTheme="minorEastAsia" w:hAnsiTheme="minorEastAsia" w:cs="宋体" w:hint="eastAsia"/>
                <w:kern w:val="0"/>
                <w:szCs w:val="21"/>
              </w:rPr>
              <w:t>投标函按招标文件</w:t>
            </w:r>
            <w:proofErr w:type="gramEnd"/>
            <w:r>
              <w:rPr>
                <w:rFonts w:asciiTheme="minorEastAsia" w:eastAsiaTheme="minorEastAsia" w:hAnsiTheme="minorEastAsia" w:cs="宋体" w:hint="eastAsia"/>
                <w:kern w:val="0"/>
                <w:szCs w:val="21"/>
              </w:rPr>
              <w:t>规定填报了项目名称、</w:t>
            </w:r>
            <w:proofErr w:type="gramStart"/>
            <w:r>
              <w:rPr>
                <w:rFonts w:asciiTheme="minorEastAsia" w:eastAsiaTheme="minorEastAsia" w:hAnsiTheme="minorEastAsia" w:cs="宋体" w:hint="eastAsia"/>
                <w:kern w:val="0"/>
                <w:szCs w:val="21"/>
              </w:rPr>
              <w:t>补遗书</w:t>
            </w:r>
            <w:proofErr w:type="gramEnd"/>
            <w:r>
              <w:rPr>
                <w:rFonts w:asciiTheme="minorEastAsia" w:eastAsiaTheme="minorEastAsia" w:hAnsiTheme="minorEastAsia" w:cs="宋体" w:hint="eastAsia"/>
                <w:kern w:val="0"/>
                <w:szCs w:val="21"/>
              </w:rPr>
              <w:t>编号（如有）、质量要求、安全目标、监理服务期限、总监理工程师相关信息；</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b．投标文件组成齐全完整，内容均按规定填写。</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）投标文件上法定代表人或其授权代理人的签字、投标人的单位章盖章齐全，符合招标文件规定。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（3）投标人按照招标文件投标人须知前附表3.4.1的规定提供了投标保证金。</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）投标人法定代表人授权委托代理人签署投标文件的，须提交授权委托书，符合招标文件规定。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）投标人法定代表人</w:t>
            </w:r>
            <w:proofErr w:type="gramStart"/>
            <w:r>
              <w:rPr>
                <w:rFonts w:asciiTheme="minorEastAsia" w:eastAsiaTheme="minorEastAsia" w:hAnsiTheme="minorEastAsia" w:cs="宋体" w:hint="eastAsia"/>
                <w:kern w:val="0"/>
                <w:szCs w:val="21"/>
              </w:rPr>
              <w:t>若亲自</w:t>
            </w:r>
            <w:proofErr w:type="gramEnd"/>
            <w:r>
              <w:rPr>
                <w:rFonts w:asciiTheme="minorEastAsia" w:eastAsiaTheme="minorEastAsia" w:hAnsiTheme="minorEastAsia" w:cs="宋体" w:hint="eastAsia"/>
                <w:kern w:val="0"/>
                <w:szCs w:val="21"/>
              </w:rPr>
              <w:t>签署投标文件的，提供了法定代表人身份证明，符合招标文件规定。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）投标人未以联合体形式投标。</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（7）投标人未对本项目提出分包计划。</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（8）同一投标人未提交两个以上不同的投标文件。</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（9）投标文件中未出现有关投标报价的内容。</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（10）投标文件载明的招标项目服务期限符合招标文件规定。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（11）投标文件对招标文件的实质性要求和条件</w:t>
            </w:r>
            <w:proofErr w:type="gramStart"/>
            <w:r>
              <w:rPr>
                <w:rFonts w:asciiTheme="minorEastAsia" w:eastAsiaTheme="minorEastAsia" w:hAnsiTheme="minorEastAsia" w:cs="宋体" w:hint="eastAsia"/>
                <w:kern w:val="0"/>
                <w:szCs w:val="21"/>
              </w:rPr>
              <w:t>作出</w:t>
            </w:r>
            <w:proofErr w:type="gramEnd"/>
            <w:r>
              <w:rPr>
                <w:rFonts w:asciiTheme="minorEastAsia" w:eastAsiaTheme="minorEastAsia" w:hAnsiTheme="minorEastAsia" w:cs="宋体" w:hint="eastAsia"/>
                <w:kern w:val="0"/>
                <w:szCs w:val="21"/>
              </w:rPr>
              <w:t>响应。</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2）权利义务符合招标文件规定：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a.投标人应接受招标文件规定的风险划分原则，未提出新的风险划分办法；</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b.投标人未增加发包人的责任范围，或减少投标人义务；</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c.投标人未提出不同的支付办法；</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d.投标人对合同纠纷、事故处理办法未提出异议；</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e.投标人在投标活动中无欺诈行为；</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f.投标人未对合同条款有重要保留。</w:t>
            </w:r>
          </w:p>
          <w:p w:rsidR="00AE5EBD" w:rsidRDefault="00AE5EBD" w:rsidP="00A64460">
            <w:pPr>
              <w:spacing w:line="276" w:lineRule="auto"/>
              <w:jc w:val="left"/>
              <w:rPr>
                <w:rFonts w:ascii="宋体" w:hAnsi="宋体"/>
                <w:b/>
                <w:bCs/>
                <w:spacing w:val="-4"/>
                <w:szCs w:val="21"/>
              </w:rPr>
            </w:pPr>
            <w:r>
              <w:rPr>
                <w:rFonts w:ascii="宋体" w:hAnsi="宋体" w:hint="eastAsia"/>
                <w:b/>
                <w:bCs/>
                <w:spacing w:val="-4"/>
                <w:szCs w:val="21"/>
              </w:rPr>
              <w:t>第一个信封（技术文件）评审标准:</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（1）技术建议书（暗标）符合招标文件第二章“投标人须知”第3.7.3款的投标文件技术部分暗标编制要求。</w:t>
            </w:r>
          </w:p>
          <w:p w:rsidR="00AE5EBD" w:rsidRDefault="00AE5EBD" w:rsidP="00A64460">
            <w:pPr>
              <w:snapToGrid w:val="0"/>
              <w:spacing w:line="24" w:lineRule="atLeast"/>
              <w:jc w:val="left"/>
              <w:textAlignment w:val="baseline"/>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第二个信封（报价文件）评审标准：</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）投标文件按照招标文件规定的格式、内容填写，字迹清晰可辨。</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roofErr w:type="gramStart"/>
            <w:r>
              <w:rPr>
                <w:rFonts w:asciiTheme="minorEastAsia" w:eastAsiaTheme="minorEastAsia" w:hAnsiTheme="minorEastAsia" w:cs="宋体" w:hint="eastAsia"/>
                <w:kern w:val="0"/>
                <w:szCs w:val="21"/>
              </w:rPr>
              <w:t>投标函按招标文件</w:t>
            </w:r>
            <w:proofErr w:type="gramEnd"/>
            <w:r>
              <w:rPr>
                <w:rFonts w:asciiTheme="minorEastAsia" w:eastAsiaTheme="minorEastAsia" w:hAnsiTheme="minorEastAsia" w:cs="宋体" w:hint="eastAsia"/>
                <w:kern w:val="0"/>
                <w:szCs w:val="21"/>
              </w:rPr>
              <w:t>规定填报了项目名称、标段号、</w:t>
            </w:r>
            <w:proofErr w:type="gramStart"/>
            <w:r>
              <w:rPr>
                <w:rFonts w:asciiTheme="minorEastAsia" w:eastAsiaTheme="minorEastAsia" w:hAnsiTheme="minorEastAsia" w:cs="宋体" w:hint="eastAsia"/>
                <w:kern w:val="0"/>
                <w:szCs w:val="21"/>
              </w:rPr>
              <w:t>补遗书</w:t>
            </w:r>
            <w:proofErr w:type="gramEnd"/>
            <w:r>
              <w:rPr>
                <w:rFonts w:asciiTheme="minorEastAsia" w:eastAsiaTheme="minorEastAsia" w:hAnsiTheme="minorEastAsia" w:cs="宋体" w:hint="eastAsia"/>
                <w:kern w:val="0"/>
                <w:szCs w:val="21"/>
              </w:rPr>
              <w:t>编号（如有）、投标报价（包括大写金额和小写金额）、交工验收及缺陷责任期阶段监理服务费等；</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b．报价清单说明文字与招标文件规定一致，未进行实质性修改和删减；</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kern w:val="0"/>
                <w:szCs w:val="21"/>
              </w:rPr>
              <w:t>c.</w:t>
            </w:r>
            <w:r>
              <w:rPr>
                <w:rFonts w:asciiTheme="minorEastAsia" w:eastAsiaTheme="minorEastAsia" w:hAnsiTheme="minorEastAsia" w:cs="宋体" w:hint="eastAsia"/>
                <w:kern w:val="0"/>
                <w:szCs w:val="21"/>
              </w:rPr>
              <w:t>投标文件组成齐全完整，内容均按规定填写。</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）投标文件上法定代表人或其授权代理人的签字、投标人的单位章盖章齐全，符合招标文件规定。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（3）投标报价未超过招标文件设定的最高投标限价。</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（4）投标报价的大写金额能够确定具体数值。</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（5）同一投标人未提交两个以上不同的投标报价。</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（6）投标报价中交工验收及缺陷责任期阶段监理服务费报价不低于监理服务总费用的5%。</w:t>
            </w:r>
          </w:p>
        </w:tc>
      </w:tr>
      <w:tr w:rsidR="00AE5EBD" w:rsidTr="00A64460">
        <w:trPr>
          <w:trHeight w:val="2661"/>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2.1.2</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资格评审</w:t>
            </w:r>
          </w:p>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标准</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（1）投标人具备有效的营业执照、组织机构代码证（三证合一或五证合一的除外）、监理资质证书和基本账户开户许可证（或基本存款账户信息）；</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（2）投标人的资质等级符合招标文件规定。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（3）投标人的类似项目业绩符合招标文件的规定。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（4）投标人的信誉符合招标文件规定。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（5）投标人的总监理工程师资格符合招标文件规定。</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）投标人不存在第二章“投标人须知”第1.4.3项或1.4.4项规定的任何一种情形。</w:t>
            </w:r>
          </w:p>
          <w:p w:rsidR="00AE5EBD" w:rsidRDefault="00AE5EBD" w:rsidP="00A64460">
            <w:pPr>
              <w:snapToGrid w:val="0"/>
              <w:spacing w:line="24" w:lineRule="atLeast"/>
              <w:ind w:firstLineChars="100" w:firstLine="210"/>
              <w:jc w:val="left"/>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）投标人符合第二章“投标人须知”第1.4.5项规定。</w:t>
            </w:r>
          </w:p>
        </w:tc>
      </w:tr>
      <w:tr w:rsidR="00AE5EBD" w:rsidTr="00A64460">
        <w:trPr>
          <w:trHeight w:val="1772"/>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2.2.1</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分值构成</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left"/>
              <w:rPr>
                <w:rFonts w:ascii="宋体" w:hAnsi="宋体"/>
                <w:b/>
                <w:bCs/>
                <w:spacing w:val="-4"/>
                <w:szCs w:val="21"/>
              </w:rPr>
            </w:pPr>
            <w:r>
              <w:rPr>
                <w:rFonts w:ascii="宋体" w:hAnsi="宋体" w:hint="eastAsia"/>
                <w:b/>
                <w:bCs/>
                <w:spacing w:val="-4"/>
                <w:szCs w:val="21"/>
              </w:rPr>
              <w:t>第一信封（商务及技术文件）评分分值构成：</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技术建议书（暗标部分）：</w:t>
            </w:r>
            <w:r>
              <w:rPr>
                <w:rFonts w:ascii="宋体" w:hAnsi="宋体" w:hint="eastAsia"/>
                <w:spacing w:val="-4"/>
                <w:szCs w:val="21"/>
                <w:u w:val="single"/>
              </w:rPr>
              <w:t>35</w:t>
            </w:r>
            <w:r>
              <w:rPr>
                <w:rFonts w:ascii="宋体" w:hAnsi="宋体" w:hint="eastAsia"/>
                <w:spacing w:val="-4"/>
                <w:szCs w:val="21"/>
              </w:rPr>
              <w:t>分</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主要人员  （明标部分）：</w:t>
            </w:r>
            <w:r>
              <w:rPr>
                <w:rFonts w:ascii="宋体" w:hAnsi="宋体" w:hint="eastAsia"/>
                <w:spacing w:val="-4"/>
                <w:szCs w:val="21"/>
                <w:u w:val="single"/>
              </w:rPr>
              <w:t>30</w:t>
            </w:r>
            <w:r>
              <w:rPr>
                <w:rFonts w:ascii="宋体" w:hAnsi="宋体" w:hint="eastAsia"/>
                <w:spacing w:val="-4"/>
                <w:szCs w:val="21"/>
              </w:rPr>
              <w:t>分</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其他因素  （明标部分）：</w:t>
            </w:r>
            <w:r>
              <w:rPr>
                <w:rFonts w:ascii="宋体" w:hAnsi="宋体" w:hint="eastAsia"/>
                <w:spacing w:val="-4"/>
                <w:szCs w:val="21"/>
                <w:u w:val="single"/>
              </w:rPr>
              <w:t>25</w:t>
            </w:r>
            <w:r>
              <w:rPr>
                <w:rFonts w:ascii="宋体" w:hAnsi="宋体" w:hint="eastAsia"/>
                <w:spacing w:val="-4"/>
                <w:szCs w:val="21"/>
              </w:rPr>
              <w:t>分</w:t>
            </w:r>
          </w:p>
          <w:p w:rsidR="00AE5EBD" w:rsidRDefault="00AE5EBD" w:rsidP="00A64460">
            <w:pPr>
              <w:spacing w:line="24" w:lineRule="atLeast"/>
              <w:jc w:val="left"/>
              <w:rPr>
                <w:rFonts w:ascii="宋体" w:hAnsi="宋体"/>
                <w:b/>
                <w:bCs/>
                <w:spacing w:val="-4"/>
                <w:szCs w:val="21"/>
              </w:rPr>
            </w:pPr>
            <w:r>
              <w:rPr>
                <w:rFonts w:ascii="宋体" w:hAnsi="宋体" w:hint="eastAsia"/>
                <w:b/>
                <w:bCs/>
                <w:spacing w:val="-4"/>
                <w:szCs w:val="21"/>
              </w:rPr>
              <w:t>第二信封（报价文件）评分分值构成：</w:t>
            </w:r>
          </w:p>
          <w:p w:rsidR="00AE5EBD" w:rsidRDefault="00AE5EBD" w:rsidP="00A64460">
            <w:pPr>
              <w:spacing w:line="24" w:lineRule="atLeast"/>
              <w:ind w:firstLineChars="200" w:firstLine="404"/>
              <w:jc w:val="left"/>
              <w:textAlignment w:val="baseline"/>
              <w:rPr>
                <w:rFonts w:asciiTheme="minorEastAsia" w:eastAsiaTheme="minorEastAsia" w:hAnsiTheme="minorEastAsia"/>
                <w:szCs w:val="21"/>
              </w:rPr>
            </w:pPr>
            <w:r>
              <w:rPr>
                <w:rFonts w:ascii="宋体" w:hAnsi="宋体" w:hint="eastAsia"/>
                <w:spacing w:val="-4"/>
                <w:szCs w:val="21"/>
              </w:rPr>
              <w:t>评标价    （明标部分）：</w:t>
            </w:r>
            <w:r>
              <w:rPr>
                <w:rFonts w:ascii="宋体" w:hAnsi="宋体" w:hint="eastAsia"/>
                <w:spacing w:val="-4"/>
                <w:szCs w:val="21"/>
                <w:u w:val="single"/>
              </w:rPr>
              <w:t>10</w:t>
            </w:r>
            <w:r>
              <w:rPr>
                <w:rFonts w:ascii="宋体" w:hAnsi="宋体" w:hint="eastAsia"/>
                <w:spacing w:val="-4"/>
                <w:szCs w:val="21"/>
              </w:rPr>
              <w:t>分</w:t>
            </w:r>
          </w:p>
        </w:tc>
      </w:tr>
      <w:tr w:rsidR="00AE5EBD" w:rsidTr="00A64460">
        <w:trPr>
          <w:trHeight w:val="377"/>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2.2.2</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宋体" w:hAnsi="宋体"/>
                <w:szCs w:val="21"/>
              </w:rPr>
            </w:pPr>
            <w:r>
              <w:rPr>
                <w:rFonts w:ascii="宋体" w:hAnsi="宋体" w:hint="eastAsia"/>
                <w:szCs w:val="21"/>
              </w:rPr>
              <w:t>评标基准价计算</w:t>
            </w:r>
          </w:p>
          <w:p w:rsidR="00AE5EBD" w:rsidRDefault="00AE5EBD" w:rsidP="00A64460">
            <w:pPr>
              <w:spacing w:line="24" w:lineRule="atLeast"/>
              <w:jc w:val="center"/>
              <w:textAlignment w:val="baseline"/>
              <w:rPr>
                <w:rFonts w:asciiTheme="minorEastAsia" w:eastAsiaTheme="minorEastAsia" w:hAnsiTheme="minorEastAsia"/>
                <w:szCs w:val="21"/>
              </w:rPr>
            </w:pPr>
            <w:r>
              <w:rPr>
                <w:rFonts w:ascii="宋体" w:hAnsi="宋体" w:hint="eastAsia"/>
                <w:szCs w:val="21"/>
              </w:rPr>
              <w:t>方法</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 xml:space="preserve">评标基准价的计算： </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所有通过第一个信封评审的投标文件，由评标委员会开启第二个信封，并当场计算并宣布评标基准价。</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(1)评标价的确定：</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评标价=投标</w:t>
            </w:r>
            <w:proofErr w:type="gramStart"/>
            <w:r>
              <w:rPr>
                <w:rFonts w:ascii="宋体" w:hAnsi="宋体" w:hint="eastAsia"/>
                <w:spacing w:val="-4"/>
                <w:szCs w:val="21"/>
              </w:rPr>
              <w:t>函文字</w:t>
            </w:r>
            <w:proofErr w:type="gramEnd"/>
            <w:r>
              <w:rPr>
                <w:rFonts w:ascii="宋体" w:hAnsi="宋体" w:hint="eastAsia"/>
                <w:spacing w:val="-4"/>
                <w:szCs w:val="21"/>
              </w:rPr>
              <w:t>报价</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(2)评标价平均值的计算：</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除按第二章“投标人须知”第5.2.4项规定开标现场被宣布为不进入评标基准价计算的投标报价之外，所有投标人评标价的算术平均值即为评标价平均值。</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(3)评标基准价的确定：</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方法</w:t>
            </w:r>
            <w:proofErr w:type="gramStart"/>
            <w:r>
              <w:rPr>
                <w:rFonts w:ascii="宋体" w:hAnsi="宋体" w:hint="eastAsia"/>
                <w:spacing w:val="-4"/>
                <w:szCs w:val="21"/>
              </w:rPr>
              <w:t>一</w:t>
            </w:r>
            <w:proofErr w:type="gramEnd"/>
            <w:r>
              <w:rPr>
                <w:rFonts w:ascii="宋体" w:hAnsi="宋体" w:hint="eastAsia"/>
                <w:spacing w:val="-4"/>
                <w:szCs w:val="21"/>
              </w:rPr>
              <w:t xml:space="preserve">：将评标价平均值直接作为评标基准价。 </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方法二：将评标价（除按第二章“投标人须知”第5.2.4项规定开标</w:t>
            </w:r>
            <w:r>
              <w:rPr>
                <w:rFonts w:ascii="宋体" w:hAnsi="宋体" w:hint="eastAsia"/>
                <w:spacing w:val="-4"/>
                <w:szCs w:val="21"/>
              </w:rPr>
              <w:lastRenderedPageBreak/>
              <w:t>现场被宣布为不进入评标基准价计算的投标报价之外）去掉n1个最高评标价和n2个最低评标价后平均值直接作为评标基准价。</w:t>
            </w:r>
            <w:r>
              <w:rPr>
                <w:rFonts w:ascii="宋体" w:hAnsi="宋体"/>
                <w:spacing w:val="-4"/>
                <w:szCs w:val="21"/>
              </w:rPr>
              <w:t xml:space="preserve"> </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 xml:space="preserve">方法三：将评标价（除按第二章“投标人须知”第5.2.4项规定开标现场被宣布为不进入评标基准价计算的投标报价之外）去掉n1个最高评标价和n2个最低评标价后平均值，乘以评标基准价系数K，作为评标基准价。招标人设置评标基准价系数K（取1.00、 0.995、0.99、0.985、0.98 共 5 </w:t>
            </w:r>
            <w:proofErr w:type="gramStart"/>
            <w:r>
              <w:rPr>
                <w:rFonts w:ascii="宋体" w:hAnsi="宋体" w:hint="eastAsia"/>
                <w:spacing w:val="-4"/>
                <w:szCs w:val="21"/>
              </w:rPr>
              <w:t>个</w:t>
            </w:r>
            <w:proofErr w:type="gramEnd"/>
            <w:r>
              <w:rPr>
                <w:rFonts w:ascii="宋体" w:hAnsi="宋体" w:hint="eastAsia"/>
                <w:spacing w:val="-4"/>
                <w:szCs w:val="21"/>
              </w:rPr>
              <w:t>数值）。在开标现场随机抽取确定。</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 xml:space="preserve">方法二与方法三注：如果参与评标价平均值计算的投标人数量＜6家时，计算评标价平均值时不去最高值和最低值（n1=0，n2=0）。 </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 xml:space="preserve">如果6家≤参与评标价平均值计算的投标人数量＜10家时，计算评标价平均值时去掉1个最高值和1个最低值（n1=1，n2=1）。 </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 xml:space="preserve">如果10家≤参与评标价平均值计算的投标人数量＜20家时，计算评标价平均值时去掉2个最高值和2个最低值（n1=2，n2=2）； </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 xml:space="preserve">如果20家≤参与评标价平均值计算的投标人数量＜30家时，计算评标价平均值时去掉3个最高值和3个最低值（n1=3，n2=3）； </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 xml:space="preserve">如果30家≤参与评标价平均值计算的投标人数量时，计算评标价平均值时去掉4个最高值和4个最低值（n1=4，n2=4）；  </w:t>
            </w:r>
          </w:p>
          <w:p w:rsidR="00AE5EBD" w:rsidRDefault="00AE5EBD" w:rsidP="00A64460">
            <w:pPr>
              <w:spacing w:line="24" w:lineRule="atLeast"/>
              <w:ind w:firstLineChars="200" w:firstLine="404"/>
              <w:jc w:val="left"/>
              <w:rPr>
                <w:rFonts w:ascii="宋体" w:hAnsi="宋体"/>
                <w:spacing w:val="-4"/>
                <w:szCs w:val="21"/>
              </w:rPr>
            </w:pPr>
            <w:r>
              <w:rPr>
                <w:rFonts w:ascii="宋体" w:hAnsi="宋体" w:hint="eastAsia"/>
                <w:spacing w:val="-4"/>
                <w:szCs w:val="21"/>
              </w:rPr>
              <w:t>在评标过程中，评标委员会应对招标人计算的评标基准价进行复核，存在计算错误的应予以修正并在评标报告中</w:t>
            </w:r>
            <w:proofErr w:type="gramStart"/>
            <w:r>
              <w:rPr>
                <w:rFonts w:ascii="宋体" w:hAnsi="宋体" w:hint="eastAsia"/>
                <w:spacing w:val="-4"/>
                <w:szCs w:val="21"/>
              </w:rPr>
              <w:t>作出</w:t>
            </w:r>
            <w:proofErr w:type="gramEnd"/>
            <w:r>
              <w:rPr>
                <w:rFonts w:ascii="宋体" w:hAnsi="宋体" w:hint="eastAsia"/>
                <w:spacing w:val="-4"/>
                <w:szCs w:val="21"/>
              </w:rPr>
              <w:t>说明。除此之外，评标基准价在整个评标期间保持不变，不随任何因素发生变化。</w:t>
            </w:r>
          </w:p>
          <w:p w:rsidR="00AE5EBD" w:rsidRDefault="00AE5EBD" w:rsidP="00A64460">
            <w:pPr>
              <w:spacing w:line="24" w:lineRule="atLeast"/>
              <w:ind w:firstLineChars="200" w:firstLine="404"/>
              <w:rPr>
                <w:rFonts w:asciiTheme="minorEastAsia" w:eastAsiaTheme="minorEastAsia" w:hAnsiTheme="minorEastAsia"/>
                <w:szCs w:val="21"/>
              </w:rPr>
            </w:pPr>
            <w:r>
              <w:rPr>
                <w:rFonts w:ascii="宋体" w:hAnsi="宋体" w:hint="eastAsia"/>
                <w:spacing w:val="-4"/>
                <w:szCs w:val="21"/>
              </w:rPr>
              <w:t>注：评标基准价保留小数点后两位，小数点后第三位四舍五入。</w:t>
            </w:r>
          </w:p>
        </w:tc>
      </w:tr>
      <w:tr w:rsidR="00AE5EBD" w:rsidTr="00A64460">
        <w:trPr>
          <w:trHeight w:val="973"/>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2.2.3</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评标价的偏差率</w:t>
            </w:r>
          </w:p>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计算公式</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textAlignment w:val="baseline"/>
              <w:rPr>
                <w:rFonts w:asciiTheme="minorEastAsia" w:eastAsiaTheme="minorEastAsia" w:hAnsiTheme="minorEastAsia"/>
                <w:szCs w:val="21"/>
              </w:rPr>
            </w:pPr>
            <w:r>
              <w:rPr>
                <w:rFonts w:asciiTheme="minorEastAsia" w:eastAsiaTheme="minorEastAsia" w:hAnsiTheme="minorEastAsia" w:hint="eastAsia"/>
                <w:szCs w:val="21"/>
              </w:rPr>
              <w:t>偏差率=100%×（投标人评标价-评标基准价）/评标基准价</w:t>
            </w:r>
          </w:p>
        </w:tc>
      </w:tr>
      <w:tr w:rsidR="00AE5EBD" w:rsidTr="00A64460">
        <w:trPr>
          <w:trHeight w:val="516"/>
        </w:trPr>
        <w:tc>
          <w:tcPr>
            <w:tcW w:w="45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3.6.1</w:t>
            </w:r>
          </w:p>
        </w:tc>
        <w:tc>
          <w:tcPr>
            <w:tcW w:w="635"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spacing w:line="24" w:lineRule="atLeas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投标文件相关信息的核查</w:t>
            </w:r>
          </w:p>
        </w:tc>
        <w:tc>
          <w:tcPr>
            <w:tcW w:w="3909" w:type="pct"/>
            <w:tcBorders>
              <w:top w:val="single" w:sz="4" w:space="0" w:color="auto"/>
              <w:left w:val="single" w:sz="4" w:space="0" w:color="auto"/>
              <w:bottom w:val="single" w:sz="4" w:space="0" w:color="auto"/>
              <w:right w:val="single" w:sz="4" w:space="0" w:color="auto"/>
            </w:tcBorders>
            <w:tcMar>
              <w:top w:w="28" w:type="dxa"/>
              <w:left w:w="51" w:type="dxa"/>
              <w:bottom w:w="28" w:type="dxa"/>
              <w:right w:w="51" w:type="dxa"/>
            </w:tcMar>
            <w:vAlign w:val="center"/>
          </w:tcPr>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本条修改为：</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在评标过程中，评标委员会应对以下信息进行查询：</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（1）投标人名称和资质与“全国公路建设市场监督管理系统（</w:t>
            </w:r>
            <w:r>
              <w:rPr>
                <w:rFonts w:asciiTheme="minorEastAsia" w:eastAsiaTheme="minorEastAsia" w:hAnsiTheme="minorEastAsia"/>
                <w:szCs w:val="21"/>
              </w:rPr>
              <w:t>https://hwdms.mot.gov.cn/BMWebSite/index.jsp</w:t>
            </w:r>
            <w:r>
              <w:rPr>
                <w:rFonts w:asciiTheme="minorEastAsia" w:eastAsiaTheme="minorEastAsia" w:hAnsiTheme="minorEastAsia" w:hint="eastAsia"/>
                <w:szCs w:val="21"/>
              </w:rPr>
              <w:t>）”的复核结果一致；</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（2）投标人的类似项目业绩符合招标文件规定，所附相关业绩详细信息网页截图的内容与“全国公路建设市场监督管理系统（</w:t>
            </w:r>
            <w:r>
              <w:rPr>
                <w:rFonts w:asciiTheme="minorEastAsia" w:eastAsiaTheme="minorEastAsia" w:hAnsiTheme="minorEastAsia"/>
                <w:szCs w:val="21"/>
              </w:rPr>
              <w:t>https://hwdms.mot.gov.cn/BMWebSite/index.jsp</w:t>
            </w:r>
            <w:r>
              <w:rPr>
                <w:rFonts w:asciiTheme="minorEastAsia" w:eastAsiaTheme="minorEastAsia" w:hAnsiTheme="minorEastAsia" w:hint="eastAsia"/>
                <w:szCs w:val="21"/>
              </w:rPr>
              <w:t>）”的复核结果一致；</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）所附总监理工程师岗位登记信息(执业资格、履历信息等)及相应业绩的网页截图扫描件与“全国公路建设市场监督管理系统（</w:t>
            </w:r>
            <w:r>
              <w:rPr>
                <w:rFonts w:asciiTheme="minorEastAsia" w:eastAsiaTheme="minorEastAsia" w:hAnsiTheme="minorEastAsia"/>
                <w:szCs w:val="21"/>
              </w:rPr>
              <w:t>https://hwdms.mot.gov.cn/BMWebSite/index.jsp</w:t>
            </w:r>
            <w:r>
              <w:rPr>
                <w:rFonts w:asciiTheme="minorEastAsia" w:eastAsiaTheme="minorEastAsia" w:hAnsiTheme="minorEastAsia" w:hint="eastAsia"/>
                <w:szCs w:val="21"/>
              </w:rPr>
              <w:t>）”的复核结果一致，并满足招标文件要求；</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）评标委员会评标时在“国家企业信用信息公示系统（http://www.gsxt.gov.cn/)”对投标人的信用情况进行查询，若投标人存在被列入“严重违法失信企业名单”情形的（不含分公司），评标委员会应否决其投标。</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信用中国网站（http://www.creditchina.gov.cn/)”对投标人的信用情况进行查询，若投标人存在被列入“失信被执行人名单、经营异常名录信息查询、重大税收违法失信主体、政府采购严重违法失信名单”情形的（均不含分公司），评标委员会应否决其投标。</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前述第（4）项如投标人</w:t>
            </w:r>
            <w:r>
              <w:rPr>
                <w:rFonts w:asciiTheme="minorEastAsia" w:eastAsiaTheme="minorEastAsia" w:hAnsiTheme="minorEastAsia" w:hint="eastAsia"/>
                <w:b/>
                <w:szCs w:val="21"/>
              </w:rPr>
              <w:t>未提供相关网页截图或所附截图与复核结果不一致</w:t>
            </w:r>
            <w:r>
              <w:rPr>
                <w:rFonts w:asciiTheme="minorEastAsia" w:eastAsiaTheme="minorEastAsia" w:hAnsiTheme="minorEastAsia" w:hint="eastAsia"/>
                <w:szCs w:val="21"/>
              </w:rPr>
              <w:t>的，评标委员会应否决其投标。</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前述第（1）（2）（3）项如投标人</w:t>
            </w:r>
            <w:r>
              <w:rPr>
                <w:rFonts w:asciiTheme="minorEastAsia" w:eastAsiaTheme="minorEastAsia" w:hAnsiTheme="minorEastAsia" w:hint="eastAsia"/>
                <w:b/>
                <w:szCs w:val="21"/>
              </w:rPr>
              <w:t>未提供相关网页截图或所附截图与复核结果不一致</w:t>
            </w:r>
            <w:r>
              <w:rPr>
                <w:rFonts w:asciiTheme="minorEastAsia" w:eastAsiaTheme="minorEastAsia" w:hAnsiTheme="minorEastAsia" w:hint="eastAsia"/>
                <w:szCs w:val="21"/>
              </w:rPr>
              <w:t>导致不能满足资格评审要求的，评标委员会应否决其投标。</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rsidR="00AE5EBD" w:rsidRDefault="00AE5EBD" w:rsidP="00A64460">
            <w:pPr>
              <w:adjustRightInd w:val="0"/>
              <w:snapToGrid w:val="0"/>
              <w:spacing w:line="24"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评标委员会在评标时按照投标人提供的验证方式对电子银行保函或电子担保保函或电子保证保险进行验证。如投标人未提供电子银行保函或电子担保保函或电子保证保险在线验证方式，或根据提供的验证方式无法核实的，评标委员会可以否决其投标。</w:t>
            </w:r>
          </w:p>
        </w:tc>
      </w:tr>
      <w:bookmarkEnd w:id="0"/>
      <w:bookmarkEnd w:id="1"/>
      <w:bookmarkEnd w:id="18"/>
      <w:bookmarkEnd w:id="19"/>
      <w:bookmarkEnd w:id="20"/>
      <w:bookmarkEnd w:id="21"/>
      <w:bookmarkEnd w:id="22"/>
      <w:bookmarkEnd w:id="23"/>
      <w:bookmarkEnd w:id="24"/>
      <w:bookmarkEnd w:id="25"/>
      <w:bookmarkEnd w:id="26"/>
      <w:bookmarkEnd w:id="27"/>
    </w:tbl>
    <w:p w:rsidR="00AE5EBD" w:rsidRDefault="00AE5EBD" w:rsidP="00AE5EBD">
      <w:pPr>
        <w:pStyle w:val="a5"/>
        <w:spacing w:after="0"/>
        <w:ind w:firstLineChars="200" w:firstLine="420"/>
        <w:rPr>
          <w:szCs w:val="21"/>
        </w:rPr>
      </w:pPr>
      <w:r>
        <w:lastRenderedPageBreak/>
        <w:br w:type="page"/>
      </w:r>
    </w:p>
    <w:p w:rsidR="00AE5EBD" w:rsidRDefault="00AE5EBD" w:rsidP="00AE5EBD">
      <w:pPr>
        <w:spacing w:after="120"/>
      </w:pPr>
    </w:p>
    <w:p w:rsidR="00AE5EBD" w:rsidRDefault="00AE5EBD" w:rsidP="00AE5EBD">
      <w:pPr>
        <w:spacing w:line="360" w:lineRule="auto"/>
        <w:rPr>
          <w:rFonts w:ascii="宋体" w:hAnsi="宋体" w:cs="Courier New"/>
          <w:b/>
          <w:szCs w:val="21"/>
        </w:rPr>
      </w:pPr>
      <w:r>
        <w:rPr>
          <w:rFonts w:ascii="宋体" w:hAnsi="宋体" w:cs="Courier New" w:hint="eastAsia"/>
          <w:sz w:val="24"/>
          <w:szCs w:val="21"/>
        </w:rPr>
        <w:t>具体评分标准如下：</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40"/>
        <w:gridCol w:w="802"/>
        <w:gridCol w:w="676"/>
        <w:gridCol w:w="600"/>
        <w:gridCol w:w="1156"/>
        <w:gridCol w:w="5053"/>
      </w:tblGrid>
      <w:tr w:rsidR="00AE5EBD" w:rsidTr="00A64460">
        <w:trPr>
          <w:trHeight w:val="537"/>
          <w:tblHeader/>
          <w:jc w:val="center"/>
        </w:trPr>
        <w:tc>
          <w:tcPr>
            <w:tcW w:w="3559" w:type="dxa"/>
            <w:gridSpan w:val="5"/>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0"/>
              </w:rPr>
            </w:pPr>
            <w:r>
              <w:rPr>
                <w:rFonts w:ascii="宋体" w:hAnsi="宋体" w:cs="Courier New" w:hint="eastAsia"/>
                <w:szCs w:val="21"/>
              </w:rPr>
              <w:t>评分因素与权重分值</w:t>
            </w:r>
          </w:p>
        </w:tc>
        <w:tc>
          <w:tcPr>
            <w:tcW w:w="6209" w:type="dxa"/>
            <w:gridSpan w:val="2"/>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评分标准</w:t>
            </w:r>
          </w:p>
        </w:tc>
      </w:tr>
      <w:tr w:rsidR="00AE5EBD" w:rsidTr="00A64460">
        <w:trPr>
          <w:trHeight w:val="914"/>
          <w:tblHeader/>
          <w:jc w:val="center"/>
        </w:trPr>
        <w:tc>
          <w:tcPr>
            <w:tcW w:w="741"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条款号</w:t>
            </w:r>
          </w:p>
        </w:tc>
        <w:tc>
          <w:tcPr>
            <w:tcW w:w="740"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评分因素</w:t>
            </w:r>
          </w:p>
        </w:tc>
        <w:tc>
          <w:tcPr>
            <w:tcW w:w="802"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ind w:leftChars="-19" w:left="-40" w:firstLine="640"/>
              <w:jc w:val="center"/>
              <w:textAlignment w:val="baseline"/>
              <w:rPr>
                <w:rFonts w:ascii="宋体" w:hAnsi="宋体" w:cs="Courier New"/>
                <w:szCs w:val="21"/>
              </w:rPr>
            </w:pPr>
            <w:r>
              <w:rPr>
                <w:rFonts w:ascii="宋体" w:hAnsi="宋体" w:cs="Courier New" w:hint="eastAsia"/>
                <w:szCs w:val="21"/>
              </w:rPr>
              <w:t>评分因素权重分值</w:t>
            </w:r>
          </w:p>
        </w:tc>
        <w:tc>
          <w:tcPr>
            <w:tcW w:w="676"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宋体"/>
                <w:szCs w:val="21"/>
                <w:shd w:val="clear" w:color="auto" w:fill="FFFFFF"/>
                <w:lang w:val="zh-CN" w:bidi="zh-CN"/>
              </w:rPr>
              <w:t>各评分因素细分项</w:t>
            </w:r>
          </w:p>
        </w:tc>
        <w:tc>
          <w:tcPr>
            <w:tcW w:w="600"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分值</w:t>
            </w:r>
          </w:p>
        </w:tc>
        <w:tc>
          <w:tcPr>
            <w:tcW w:w="6209" w:type="dxa"/>
            <w:gridSpan w:val="2"/>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r>
      <w:tr w:rsidR="00AE5EBD" w:rsidTr="00A64460">
        <w:trPr>
          <w:trHeight w:val="589"/>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2.2.4（1）</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技术建议书（暗标部分）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35分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监理大纲和措施</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ind w:leftChars="-48" w:left="33" w:hangingChars="64" w:hanging="134"/>
              <w:jc w:val="center"/>
              <w:textAlignment w:val="baseline"/>
              <w:rPr>
                <w:rFonts w:ascii="宋体" w:hAnsi="宋体" w:cs="Courier New"/>
                <w:szCs w:val="21"/>
              </w:rPr>
            </w:pPr>
            <w:r>
              <w:rPr>
                <w:rFonts w:ascii="宋体" w:hAnsi="宋体" w:cs="Courier New"/>
                <w:szCs w:val="21"/>
              </w:rPr>
              <w:t>25</w:t>
            </w:r>
            <w:r>
              <w:rPr>
                <w:rFonts w:ascii="宋体" w:hAnsi="宋体" w:cs="Courier New" w:hint="eastAsia"/>
                <w:szCs w:val="21"/>
              </w:rPr>
              <w:t>分</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对本招标项目监理工作范围和任务理解(7分)</w:t>
            </w: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理解准确，思路清晰，全面、合理，符合项目要求，得5.6-7.0分；</w:t>
            </w:r>
          </w:p>
        </w:tc>
      </w:tr>
      <w:tr w:rsidR="00AE5EBD" w:rsidTr="00A64460">
        <w:trPr>
          <w:trHeight w:val="448"/>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理解较准确，思路较清晰，得4.9-5.6分</w:t>
            </w:r>
          </w:p>
        </w:tc>
      </w:tr>
      <w:tr w:rsidR="00AE5EBD" w:rsidTr="00A64460">
        <w:trPr>
          <w:trHeight w:val="410"/>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理解基本准确，得4.2-4.9分</w:t>
            </w:r>
          </w:p>
        </w:tc>
      </w:tr>
      <w:tr w:rsidR="00AE5EBD" w:rsidTr="00A64460">
        <w:trPr>
          <w:trHeight w:val="558"/>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监理方案及措施</w:t>
            </w:r>
          </w:p>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（10分）</w:t>
            </w: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方案详尽，措施具体全面合理，可行性强，得8.0-10.0分</w:t>
            </w:r>
          </w:p>
        </w:tc>
      </w:tr>
      <w:tr w:rsidR="00AE5EBD" w:rsidTr="00A64460">
        <w:trPr>
          <w:trHeight w:val="552"/>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方案较详尽，措施合理，可行性较好，得7.0-8.0分</w:t>
            </w:r>
          </w:p>
        </w:tc>
      </w:tr>
      <w:tr w:rsidR="00AE5EBD" w:rsidTr="00A64460">
        <w:trPr>
          <w:trHeight w:val="560"/>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方案一般，措施基本全面，可行性一般，得6.0-7.0分</w:t>
            </w:r>
          </w:p>
        </w:tc>
      </w:tr>
      <w:tr w:rsidR="00AE5EBD" w:rsidTr="00A64460">
        <w:trPr>
          <w:trHeight w:val="680"/>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监理工</w:t>
            </w:r>
          </w:p>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作程序</w:t>
            </w:r>
          </w:p>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(8分)</w:t>
            </w: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内容齐全，阶段划分合理、正确，可实施性强，得6.4-8.0分</w:t>
            </w:r>
          </w:p>
        </w:tc>
      </w:tr>
      <w:tr w:rsidR="00AE5EBD" w:rsidTr="00A64460">
        <w:trPr>
          <w:trHeight w:val="57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内容较齐全，阶段</w:t>
            </w:r>
            <w:proofErr w:type="gramStart"/>
            <w:r>
              <w:rPr>
                <w:rFonts w:ascii="宋体" w:hAnsi="宋体" w:cs="Courier New" w:hint="eastAsia"/>
                <w:szCs w:val="21"/>
              </w:rPr>
              <w:t>划分较</w:t>
            </w:r>
            <w:proofErr w:type="gramEnd"/>
            <w:r>
              <w:rPr>
                <w:rFonts w:ascii="宋体" w:hAnsi="宋体" w:cs="Courier New" w:hint="eastAsia"/>
                <w:szCs w:val="21"/>
              </w:rPr>
              <w:t>合理，可实施性较好，得5.6-6.4分</w:t>
            </w:r>
          </w:p>
        </w:tc>
      </w:tr>
      <w:tr w:rsidR="00AE5EBD" w:rsidTr="00A64460">
        <w:trPr>
          <w:trHeight w:val="55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 xml:space="preserve">内容基本齐全，阶段划分基本合理，可实施性一般，得4.8-5.6分 </w:t>
            </w:r>
          </w:p>
        </w:tc>
      </w:tr>
      <w:tr w:rsidR="00AE5EBD" w:rsidTr="00A64460">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本工程监理工作的重点与难点分析</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ind w:leftChars="-48" w:left="33" w:hangingChars="64" w:hanging="134"/>
              <w:jc w:val="center"/>
              <w:textAlignment w:val="baseline"/>
              <w:rPr>
                <w:rFonts w:ascii="宋体" w:hAnsi="宋体" w:cs="Courier New"/>
                <w:szCs w:val="21"/>
              </w:rPr>
            </w:pPr>
            <w:r>
              <w:rPr>
                <w:rFonts w:ascii="宋体" w:hAnsi="宋体" w:cs="Courier New" w:hint="eastAsia"/>
                <w:szCs w:val="21"/>
              </w:rPr>
              <w:t>5分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分析透彻，对难点、重点把握准确；处理措施科学合理，有效可行，得4.0-5.0分</w:t>
            </w:r>
          </w:p>
        </w:tc>
      </w:tr>
      <w:tr w:rsidR="00AE5EBD" w:rsidTr="00A64460">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分析较透彻，对难点、重点把握较准确；处理措施合理，可行，得3.5-4.0分</w:t>
            </w:r>
          </w:p>
        </w:tc>
      </w:tr>
      <w:tr w:rsidR="00AE5EBD" w:rsidTr="00A64460">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分析一般，对难点、重点把握一般；处理措施基本合理，基本可行，得3.0-3.5分</w:t>
            </w:r>
          </w:p>
        </w:tc>
      </w:tr>
      <w:tr w:rsidR="00AE5EBD" w:rsidTr="00A64460">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对本工程的建议</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szCs w:val="21"/>
              </w:rPr>
              <w:t>5</w:t>
            </w:r>
            <w:r>
              <w:rPr>
                <w:rFonts w:ascii="宋体" w:hAnsi="宋体" w:cs="Courier New" w:hint="eastAsia"/>
                <w:szCs w:val="21"/>
              </w:rPr>
              <w:t>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建议措施具体全面、可靠、合理，可实施性强，4.0-5.0分</w:t>
            </w:r>
          </w:p>
        </w:tc>
      </w:tr>
      <w:tr w:rsidR="00AE5EBD" w:rsidTr="00A64460">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建议措施全面、合理，可实施性较好，得3.5-4.0分</w:t>
            </w:r>
          </w:p>
        </w:tc>
      </w:tr>
      <w:tr w:rsidR="00AE5EBD" w:rsidTr="00A64460">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建议措施基本全面、合理，可实施性一般，得3.0-3.5分</w:t>
            </w:r>
          </w:p>
        </w:tc>
      </w:tr>
      <w:tr w:rsidR="00AE5EBD" w:rsidTr="00A64460">
        <w:trPr>
          <w:trHeight w:val="610"/>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2.2.4（2）</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主要人员（明标部分）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30分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宋体" w:hint="eastAsia"/>
              </w:rPr>
              <w:t>总监理工程师</w:t>
            </w:r>
          </w:p>
        </w:tc>
        <w:tc>
          <w:tcPr>
            <w:tcW w:w="600"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ind w:leftChars="-48" w:left="33" w:hangingChars="64" w:hanging="134"/>
              <w:jc w:val="center"/>
              <w:textAlignment w:val="baseline"/>
              <w:rPr>
                <w:rFonts w:ascii="宋体" w:hAnsi="宋体" w:cs="Courier New"/>
                <w:szCs w:val="21"/>
              </w:rPr>
            </w:pPr>
            <w:r>
              <w:rPr>
                <w:rFonts w:ascii="宋体" w:hAnsi="宋体" w:cs="Courier New" w:hint="eastAsia"/>
                <w:szCs w:val="21"/>
              </w:rPr>
              <w:t>18分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满足附录4资格审查条件(总监理工程师的最低要求)总监理工程师业绩的得18分；</w:t>
            </w:r>
          </w:p>
        </w:tc>
      </w:tr>
      <w:tr w:rsidR="00AE5EBD" w:rsidTr="00A64460">
        <w:trPr>
          <w:trHeight w:val="45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ind w:leftChars="-48" w:left="33" w:hangingChars="64" w:hanging="134"/>
              <w:jc w:val="center"/>
              <w:textAlignment w:val="baseline"/>
              <w:rPr>
                <w:rFonts w:ascii="宋体" w:hAnsi="宋体" w:cs="Courier New"/>
                <w:szCs w:val="21"/>
              </w:rPr>
            </w:pPr>
            <w:r>
              <w:rPr>
                <w:rFonts w:ascii="宋体" w:hAnsi="宋体" w:cs="Courier New"/>
                <w:szCs w:val="21"/>
              </w:rPr>
              <w:t>1</w:t>
            </w:r>
            <w:r>
              <w:rPr>
                <w:rFonts w:ascii="宋体" w:hAnsi="宋体" w:cs="Courier New" w:hint="eastAsia"/>
                <w:szCs w:val="21"/>
              </w:rPr>
              <w:t>2分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 xml:space="preserve">每增加 1 </w:t>
            </w:r>
            <w:proofErr w:type="gramStart"/>
            <w:r>
              <w:rPr>
                <w:rFonts w:ascii="宋体" w:hAnsi="宋体" w:cs="Courier New" w:hint="eastAsia"/>
                <w:szCs w:val="21"/>
              </w:rPr>
              <w:t>项满足</w:t>
            </w:r>
            <w:proofErr w:type="gramEnd"/>
            <w:r>
              <w:rPr>
                <w:rFonts w:ascii="宋体" w:hAnsi="宋体" w:cs="Courier New" w:hint="eastAsia"/>
                <w:szCs w:val="21"/>
              </w:rPr>
              <w:t>附录4资格审查条件(总监理工程师的最低要求)总监理工程师业绩加12分，最高加 12分。</w:t>
            </w:r>
          </w:p>
        </w:tc>
      </w:tr>
      <w:tr w:rsidR="00AE5EBD" w:rsidTr="00A64460">
        <w:trPr>
          <w:trHeight w:val="377"/>
          <w:jc w:val="center"/>
        </w:trPr>
        <w:tc>
          <w:tcPr>
            <w:tcW w:w="741"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lastRenderedPageBreak/>
              <w:t>2.2.4（3）</w:t>
            </w:r>
          </w:p>
        </w:tc>
        <w:tc>
          <w:tcPr>
            <w:tcW w:w="740"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评标价（明标部分）</w:t>
            </w:r>
          </w:p>
        </w:tc>
        <w:tc>
          <w:tcPr>
            <w:tcW w:w="802"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10分</w:t>
            </w:r>
          </w:p>
        </w:tc>
        <w:tc>
          <w:tcPr>
            <w:tcW w:w="7485" w:type="dxa"/>
            <w:gridSpan w:val="4"/>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评标价得分计算公式示例：</w:t>
            </w:r>
          </w:p>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（1）如果投标人的评标价＞评标基准价，则评标价得分=F-（投标人评标价-评标基准价）/评标基准价×100×E1；</w:t>
            </w:r>
          </w:p>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（2）如果投标人的评标价≤评标基准价，则评标价得分=F+(投标人评标价-评标基准价)/评标基准价×100×E2。</w:t>
            </w:r>
          </w:p>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其中，F=10；E1=0.</w:t>
            </w:r>
            <w:r>
              <w:rPr>
                <w:rFonts w:ascii="宋体" w:hAnsi="宋体" w:cs="Courier New"/>
                <w:szCs w:val="21"/>
              </w:rPr>
              <w:t>2</w:t>
            </w:r>
            <w:r>
              <w:rPr>
                <w:rFonts w:ascii="宋体" w:hAnsi="宋体" w:cs="Courier New" w:hint="eastAsia"/>
                <w:szCs w:val="21"/>
              </w:rPr>
              <w:t>；E2=0.</w:t>
            </w:r>
            <w:r>
              <w:rPr>
                <w:rFonts w:ascii="宋体" w:hAnsi="宋体" w:cs="Courier New"/>
                <w:szCs w:val="21"/>
              </w:rPr>
              <w:t>1</w:t>
            </w:r>
            <w:r>
              <w:rPr>
                <w:rFonts w:ascii="宋体" w:hAnsi="宋体" w:cs="Courier New" w:hint="eastAsia"/>
                <w:szCs w:val="21"/>
              </w:rPr>
              <w:t>；评标价最低得分为0分。</w:t>
            </w:r>
          </w:p>
          <w:p w:rsidR="00AE5EBD" w:rsidRDefault="00AE5EBD" w:rsidP="00A64460">
            <w:pPr>
              <w:pStyle w:val="a5"/>
              <w:ind w:left="420" w:firstLine="420"/>
            </w:pPr>
            <w:r>
              <w:rPr>
                <w:rFonts w:ascii="宋体" w:eastAsiaTheme="minorEastAsia" w:hAnsi="宋体" w:cs="Courier New" w:hint="eastAsia"/>
                <w:szCs w:val="21"/>
              </w:rPr>
              <w:t>评标价得分保留2位小数，</w:t>
            </w:r>
            <w:r>
              <w:rPr>
                <w:rFonts w:ascii="宋体" w:hAnsi="宋体" w:hint="eastAsia"/>
                <w:spacing w:val="-4"/>
                <w:szCs w:val="21"/>
              </w:rPr>
              <w:t>第三位四舍五入</w:t>
            </w:r>
            <w:r>
              <w:rPr>
                <w:rFonts w:ascii="宋体" w:eastAsiaTheme="minorEastAsia" w:hAnsi="宋体" w:cs="Courier New" w:hint="eastAsia"/>
                <w:szCs w:val="21"/>
              </w:rPr>
              <w:t>。</w:t>
            </w:r>
          </w:p>
        </w:tc>
      </w:tr>
      <w:tr w:rsidR="00AE5EBD" w:rsidTr="00A64460">
        <w:trPr>
          <w:trHeight w:val="563"/>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2.2.4（4）</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其他因素（明标部分）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Courier New" w:hint="eastAsia"/>
                <w:szCs w:val="21"/>
              </w:rPr>
              <w:t>25分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center"/>
              <w:textAlignment w:val="baseline"/>
              <w:rPr>
                <w:rFonts w:ascii="宋体" w:hAnsi="宋体" w:cs="Courier New"/>
                <w:szCs w:val="21"/>
              </w:rPr>
            </w:pPr>
            <w:r>
              <w:rPr>
                <w:rFonts w:ascii="宋体" w:hAnsi="宋体" w:cs="宋体" w:hint="eastAsia"/>
              </w:rPr>
              <w:t>企业业绩</w:t>
            </w:r>
          </w:p>
        </w:tc>
        <w:tc>
          <w:tcPr>
            <w:tcW w:w="600"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ind w:rightChars="-34" w:right="-71"/>
              <w:jc w:val="center"/>
              <w:textAlignment w:val="baseline"/>
              <w:rPr>
                <w:rFonts w:ascii="宋体" w:hAnsi="宋体" w:cs="Courier New"/>
                <w:szCs w:val="21"/>
              </w:rPr>
            </w:pPr>
            <w:r>
              <w:rPr>
                <w:rFonts w:ascii="宋体" w:hAnsi="宋体" w:cs="Courier New" w:hint="eastAsia"/>
                <w:szCs w:val="21"/>
              </w:rPr>
              <w:t>15分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满足附录2资格审查条件(业绩最低要求)的，得15分；</w:t>
            </w:r>
          </w:p>
        </w:tc>
      </w:tr>
      <w:tr w:rsidR="00AE5EBD" w:rsidTr="00A64460">
        <w:trPr>
          <w:trHeight w:val="936"/>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5EBD" w:rsidRDefault="00AE5EBD" w:rsidP="00A64460">
            <w:pPr>
              <w:widowControl/>
              <w:jc w:val="left"/>
              <w:rPr>
                <w:rFonts w:ascii="宋体" w:hAnsi="宋体" w:cs="Courier New"/>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ind w:rightChars="-34" w:right="-71"/>
              <w:jc w:val="center"/>
              <w:textAlignment w:val="baseline"/>
              <w:rPr>
                <w:rFonts w:ascii="宋体" w:hAnsi="宋体" w:cs="Courier New"/>
                <w:szCs w:val="21"/>
              </w:rPr>
            </w:pPr>
            <w:r>
              <w:rPr>
                <w:rFonts w:ascii="宋体" w:hAnsi="宋体" w:cs="Courier New" w:hint="eastAsia"/>
                <w:szCs w:val="21"/>
              </w:rPr>
              <w:t>10分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5EBD" w:rsidRDefault="00AE5EBD" w:rsidP="00A64460">
            <w:pPr>
              <w:spacing w:line="160" w:lineRule="atLeast"/>
              <w:jc w:val="left"/>
              <w:textAlignment w:val="baseline"/>
              <w:rPr>
                <w:rFonts w:ascii="宋体" w:hAnsi="宋体" w:cs="Courier New"/>
                <w:szCs w:val="21"/>
              </w:rPr>
            </w:pPr>
            <w:r>
              <w:rPr>
                <w:rFonts w:ascii="宋体" w:hAnsi="宋体" w:cs="Courier New" w:hint="eastAsia"/>
                <w:szCs w:val="21"/>
              </w:rPr>
              <w:t xml:space="preserve">每增加 1 </w:t>
            </w:r>
            <w:proofErr w:type="gramStart"/>
            <w:r>
              <w:rPr>
                <w:rFonts w:ascii="宋体" w:hAnsi="宋体" w:cs="Courier New" w:hint="eastAsia"/>
                <w:szCs w:val="21"/>
              </w:rPr>
              <w:t>项满足</w:t>
            </w:r>
            <w:proofErr w:type="gramEnd"/>
            <w:r>
              <w:rPr>
                <w:rFonts w:ascii="宋体" w:hAnsi="宋体" w:cs="Courier New" w:hint="eastAsia"/>
                <w:szCs w:val="21"/>
              </w:rPr>
              <w:t>附录2资格审查条件(业绩最低要求)的监理业绩加5分，本项最多加 10 分</w:t>
            </w:r>
          </w:p>
        </w:tc>
      </w:tr>
    </w:tbl>
    <w:p w:rsidR="00AE5EBD" w:rsidRDefault="00AE5EBD" w:rsidP="00AE5EBD">
      <w:pPr>
        <w:ind w:firstLineChars="200" w:firstLine="420"/>
        <w:textAlignment w:val="baseline"/>
        <w:rPr>
          <w:rFonts w:ascii="宋体" w:hAnsi="宋体" w:cs="Courier New"/>
          <w:szCs w:val="21"/>
        </w:rPr>
      </w:pPr>
    </w:p>
    <w:p w:rsidR="00AE5EBD" w:rsidRDefault="00AE5EBD" w:rsidP="00AE5EBD">
      <w:pPr>
        <w:ind w:firstLineChars="200" w:firstLine="420"/>
        <w:textAlignment w:val="baseline"/>
        <w:rPr>
          <w:rFonts w:ascii="宋体" w:hAnsi="宋体" w:cs="Courier New"/>
          <w:szCs w:val="21"/>
        </w:rPr>
      </w:pPr>
      <w:r>
        <w:rPr>
          <w:rFonts w:ascii="宋体" w:hAnsi="宋体" w:cs="Courier New" w:hint="eastAsia"/>
          <w:szCs w:val="21"/>
        </w:rPr>
        <w:t>注：1、第2.2.4（1）项各评委打分保留1位小数，投标人该项得分以各评委打分平均值计算所得</w:t>
      </w:r>
      <w:bookmarkStart w:id="28" w:name="_GoBack"/>
      <w:bookmarkEnd w:id="28"/>
      <w:r>
        <w:rPr>
          <w:rFonts w:ascii="宋体" w:hAnsi="宋体" w:cs="Courier New" w:hint="eastAsia"/>
          <w:szCs w:val="21"/>
        </w:rPr>
        <w:t>，保留两位小数，第三位小数四舍五入。</w:t>
      </w:r>
    </w:p>
    <w:p w:rsidR="00AE5EBD" w:rsidRPr="0031172F" w:rsidRDefault="00AE5EBD" w:rsidP="0031172F">
      <w:pPr>
        <w:ind w:firstLineChars="200" w:firstLine="420"/>
        <w:textAlignment w:val="baseline"/>
        <w:rPr>
          <w:rFonts w:ascii="宋体" w:hAnsi="宋体" w:cs="Courier New"/>
          <w:szCs w:val="21"/>
        </w:rPr>
      </w:pPr>
      <w:r w:rsidRPr="0031172F">
        <w:rPr>
          <w:rFonts w:ascii="宋体" w:hAnsi="宋体" w:cs="Courier New" w:hint="eastAsia"/>
          <w:szCs w:val="21"/>
        </w:rPr>
        <w:t>2、第2.2.4（1）项评标委员会成员对某一项评分因素的评分低于权重分值 60%的，应在评标报告中</w:t>
      </w:r>
      <w:proofErr w:type="gramStart"/>
      <w:r w:rsidRPr="0031172F">
        <w:rPr>
          <w:rFonts w:ascii="宋体" w:hAnsi="宋体" w:cs="Courier New" w:hint="eastAsia"/>
          <w:szCs w:val="21"/>
        </w:rPr>
        <w:t>作出</w:t>
      </w:r>
      <w:proofErr w:type="gramEnd"/>
      <w:r w:rsidRPr="0031172F">
        <w:rPr>
          <w:rFonts w:ascii="宋体" w:hAnsi="宋体" w:cs="Courier New" w:hint="eastAsia"/>
          <w:szCs w:val="21"/>
        </w:rPr>
        <w:t>说明。评审因素缺项则该项得0分。</w:t>
      </w:r>
    </w:p>
    <w:p w:rsidR="00CD4B79" w:rsidRPr="00AE5EBD" w:rsidRDefault="00CD4B79"/>
    <w:sectPr w:rsidR="00CD4B79" w:rsidRPr="00AE5E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69" w:rsidRDefault="00AE6769" w:rsidP="00AE5EBD">
      <w:r>
        <w:separator/>
      </w:r>
    </w:p>
  </w:endnote>
  <w:endnote w:type="continuationSeparator" w:id="0">
    <w:p w:rsidR="00AE6769" w:rsidRDefault="00AE6769" w:rsidP="00AE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69" w:rsidRDefault="00AE6769" w:rsidP="00AE5EBD">
      <w:r>
        <w:separator/>
      </w:r>
    </w:p>
  </w:footnote>
  <w:footnote w:type="continuationSeparator" w:id="0">
    <w:p w:rsidR="00AE6769" w:rsidRDefault="00AE6769" w:rsidP="00AE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CD"/>
    <w:rsid w:val="0031172F"/>
    <w:rsid w:val="00AE5EBD"/>
    <w:rsid w:val="00AE6769"/>
    <w:rsid w:val="00CD4B79"/>
    <w:rsid w:val="00D5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E5EBD"/>
    <w:pPr>
      <w:widowControl w:val="0"/>
      <w:jc w:val="both"/>
    </w:pPr>
    <w:rPr>
      <w:rFonts w:ascii="Times New Roman" w:eastAsia="宋体" w:hAnsi="Times New Roman" w:cs="Times New Roman"/>
      <w:szCs w:val="24"/>
    </w:rPr>
  </w:style>
  <w:style w:type="paragraph" w:styleId="3">
    <w:name w:val="heading 3"/>
    <w:basedOn w:val="a"/>
    <w:next w:val="a"/>
    <w:link w:val="3Char1"/>
    <w:autoRedefine/>
    <w:qFormat/>
    <w:rsid w:val="00AE5EBD"/>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E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5EBD"/>
    <w:rPr>
      <w:sz w:val="18"/>
      <w:szCs w:val="18"/>
    </w:rPr>
  </w:style>
  <w:style w:type="paragraph" w:styleId="a4">
    <w:name w:val="footer"/>
    <w:basedOn w:val="a"/>
    <w:link w:val="Char0"/>
    <w:uiPriority w:val="99"/>
    <w:unhideWhenUsed/>
    <w:rsid w:val="00AE5E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5EBD"/>
    <w:rPr>
      <w:sz w:val="18"/>
      <w:szCs w:val="18"/>
    </w:rPr>
  </w:style>
  <w:style w:type="character" w:customStyle="1" w:styleId="3Char">
    <w:name w:val="标题 3 Char"/>
    <w:basedOn w:val="a0"/>
    <w:uiPriority w:val="9"/>
    <w:semiHidden/>
    <w:rsid w:val="00AE5EBD"/>
    <w:rPr>
      <w:rFonts w:ascii="Times New Roman" w:eastAsia="宋体" w:hAnsi="Times New Roman" w:cs="Times New Roman"/>
      <w:b/>
      <w:bCs/>
      <w:sz w:val="32"/>
      <w:szCs w:val="32"/>
    </w:rPr>
  </w:style>
  <w:style w:type="paragraph" w:styleId="a5">
    <w:name w:val="Body Text"/>
    <w:basedOn w:val="a"/>
    <w:next w:val="2"/>
    <w:link w:val="Char1"/>
    <w:autoRedefine/>
    <w:uiPriority w:val="1"/>
    <w:qFormat/>
    <w:rsid w:val="00AE5EBD"/>
    <w:pPr>
      <w:spacing w:after="120"/>
    </w:pPr>
  </w:style>
  <w:style w:type="character" w:customStyle="1" w:styleId="Char1">
    <w:name w:val="正文文本 Char"/>
    <w:basedOn w:val="a0"/>
    <w:link w:val="a5"/>
    <w:uiPriority w:val="1"/>
    <w:qFormat/>
    <w:rsid w:val="00AE5EBD"/>
    <w:rPr>
      <w:rFonts w:ascii="Times New Roman" w:eastAsia="宋体" w:hAnsi="Times New Roman" w:cs="Times New Roman"/>
      <w:szCs w:val="24"/>
    </w:rPr>
  </w:style>
  <w:style w:type="character" w:customStyle="1" w:styleId="3Char1">
    <w:name w:val="标题 3 Char1"/>
    <w:link w:val="3"/>
    <w:autoRedefine/>
    <w:qFormat/>
    <w:locked/>
    <w:rsid w:val="00AE5EBD"/>
    <w:rPr>
      <w:rFonts w:ascii="Times New Roman" w:eastAsia="宋体" w:hAnsi="Times New Roman" w:cs="Times New Roman"/>
      <w:b/>
      <w:bCs/>
      <w:sz w:val="32"/>
      <w:szCs w:val="32"/>
    </w:rPr>
  </w:style>
  <w:style w:type="paragraph" w:styleId="2">
    <w:name w:val="Body Text 2"/>
    <w:basedOn w:val="a"/>
    <w:link w:val="2Char"/>
    <w:uiPriority w:val="99"/>
    <w:semiHidden/>
    <w:unhideWhenUsed/>
    <w:rsid w:val="00AE5EBD"/>
    <w:pPr>
      <w:spacing w:after="120" w:line="480" w:lineRule="auto"/>
    </w:pPr>
  </w:style>
  <w:style w:type="character" w:customStyle="1" w:styleId="2Char">
    <w:name w:val="正文文本 2 Char"/>
    <w:basedOn w:val="a0"/>
    <w:link w:val="2"/>
    <w:uiPriority w:val="99"/>
    <w:semiHidden/>
    <w:rsid w:val="00AE5EB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E5EBD"/>
    <w:pPr>
      <w:widowControl w:val="0"/>
      <w:jc w:val="both"/>
    </w:pPr>
    <w:rPr>
      <w:rFonts w:ascii="Times New Roman" w:eastAsia="宋体" w:hAnsi="Times New Roman" w:cs="Times New Roman"/>
      <w:szCs w:val="24"/>
    </w:rPr>
  </w:style>
  <w:style w:type="paragraph" w:styleId="3">
    <w:name w:val="heading 3"/>
    <w:basedOn w:val="a"/>
    <w:next w:val="a"/>
    <w:link w:val="3Char1"/>
    <w:autoRedefine/>
    <w:qFormat/>
    <w:rsid w:val="00AE5EBD"/>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E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5EBD"/>
    <w:rPr>
      <w:sz w:val="18"/>
      <w:szCs w:val="18"/>
    </w:rPr>
  </w:style>
  <w:style w:type="paragraph" w:styleId="a4">
    <w:name w:val="footer"/>
    <w:basedOn w:val="a"/>
    <w:link w:val="Char0"/>
    <w:uiPriority w:val="99"/>
    <w:unhideWhenUsed/>
    <w:rsid w:val="00AE5E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5EBD"/>
    <w:rPr>
      <w:sz w:val="18"/>
      <w:szCs w:val="18"/>
    </w:rPr>
  </w:style>
  <w:style w:type="character" w:customStyle="1" w:styleId="3Char">
    <w:name w:val="标题 3 Char"/>
    <w:basedOn w:val="a0"/>
    <w:uiPriority w:val="9"/>
    <w:semiHidden/>
    <w:rsid w:val="00AE5EBD"/>
    <w:rPr>
      <w:rFonts w:ascii="Times New Roman" w:eastAsia="宋体" w:hAnsi="Times New Roman" w:cs="Times New Roman"/>
      <w:b/>
      <w:bCs/>
      <w:sz w:val="32"/>
      <w:szCs w:val="32"/>
    </w:rPr>
  </w:style>
  <w:style w:type="paragraph" w:styleId="a5">
    <w:name w:val="Body Text"/>
    <w:basedOn w:val="a"/>
    <w:next w:val="2"/>
    <w:link w:val="Char1"/>
    <w:autoRedefine/>
    <w:uiPriority w:val="1"/>
    <w:qFormat/>
    <w:rsid w:val="00AE5EBD"/>
    <w:pPr>
      <w:spacing w:after="120"/>
    </w:pPr>
  </w:style>
  <w:style w:type="character" w:customStyle="1" w:styleId="Char1">
    <w:name w:val="正文文本 Char"/>
    <w:basedOn w:val="a0"/>
    <w:link w:val="a5"/>
    <w:uiPriority w:val="1"/>
    <w:qFormat/>
    <w:rsid w:val="00AE5EBD"/>
    <w:rPr>
      <w:rFonts w:ascii="Times New Roman" w:eastAsia="宋体" w:hAnsi="Times New Roman" w:cs="Times New Roman"/>
      <w:szCs w:val="24"/>
    </w:rPr>
  </w:style>
  <w:style w:type="character" w:customStyle="1" w:styleId="3Char1">
    <w:name w:val="标题 3 Char1"/>
    <w:link w:val="3"/>
    <w:autoRedefine/>
    <w:qFormat/>
    <w:locked/>
    <w:rsid w:val="00AE5EBD"/>
    <w:rPr>
      <w:rFonts w:ascii="Times New Roman" w:eastAsia="宋体" w:hAnsi="Times New Roman" w:cs="Times New Roman"/>
      <w:b/>
      <w:bCs/>
      <w:sz w:val="32"/>
      <w:szCs w:val="32"/>
    </w:rPr>
  </w:style>
  <w:style w:type="paragraph" w:styleId="2">
    <w:name w:val="Body Text 2"/>
    <w:basedOn w:val="a"/>
    <w:link w:val="2Char"/>
    <w:uiPriority w:val="99"/>
    <w:semiHidden/>
    <w:unhideWhenUsed/>
    <w:rsid w:val="00AE5EBD"/>
    <w:pPr>
      <w:spacing w:after="120" w:line="480" w:lineRule="auto"/>
    </w:pPr>
  </w:style>
  <w:style w:type="character" w:customStyle="1" w:styleId="2Char">
    <w:name w:val="正文文本 2 Char"/>
    <w:basedOn w:val="a0"/>
    <w:link w:val="2"/>
    <w:uiPriority w:val="99"/>
    <w:semiHidden/>
    <w:rsid w:val="00AE5EB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2024-07-23T12:22:00Z</dcterms:created>
  <dcterms:modified xsi:type="dcterms:W3CDTF">2024-07-23T12:22:00Z</dcterms:modified>
</cp:coreProperties>
</file>