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left"/>
        <w:rPr>
          <w:color w:val="auto"/>
          <w:highlight w:val="none"/>
        </w:rPr>
      </w:pPr>
      <w:bookmarkStart w:id="0" w:name="_Toc136940559"/>
      <w:bookmarkStart w:id="1" w:name="_Toc136940439"/>
      <w:r>
        <w:rPr>
          <w:rFonts w:hint="eastAsia"/>
          <w:color w:val="auto"/>
          <w:highlight w:val="none"/>
        </w:rPr>
        <w:t>附件</w:t>
      </w:r>
      <w:r>
        <w:rPr>
          <w:color w:val="auto"/>
          <w:highlight w:val="none"/>
        </w:rPr>
        <w:t>1</w:t>
      </w:r>
      <w:r>
        <w:rPr>
          <w:rFonts w:hint="eastAsia"/>
          <w:color w:val="auto"/>
          <w:highlight w:val="none"/>
        </w:rPr>
        <w:t>：资格审查条件</w:t>
      </w:r>
      <w:bookmarkEnd w:id="0"/>
      <w:bookmarkEnd w:id="1"/>
    </w:p>
    <w:p>
      <w:pPr>
        <w:pStyle w:val="11"/>
        <w:rPr>
          <w:color w:val="auto"/>
          <w:highlight w:val="none"/>
          <w:shd w:val="clear" w:color="auto" w:fill="auto"/>
        </w:rPr>
      </w:pPr>
      <w:bookmarkStart w:id="2" w:name="_Hlk44947073"/>
      <w:bookmarkStart w:id="3" w:name="_Toc524343453"/>
    </w:p>
    <w:p>
      <w:pPr>
        <w:pStyle w:val="11"/>
        <w:rPr>
          <w:color w:val="auto"/>
          <w:highlight w:val="none"/>
          <w:shd w:val="clear" w:color="auto" w:fill="auto"/>
        </w:rPr>
      </w:pPr>
      <w:r>
        <w:rPr>
          <w:rFonts w:hint="eastAsia"/>
          <w:color w:val="auto"/>
          <w:highlight w:val="none"/>
          <w:shd w:val="clear" w:color="auto" w:fill="auto"/>
        </w:rPr>
        <w:t>附录</w:t>
      </w:r>
      <w:r>
        <w:rPr>
          <w:color w:val="auto"/>
          <w:highlight w:val="none"/>
          <w:shd w:val="clear" w:color="auto" w:fill="auto"/>
        </w:rPr>
        <w:t xml:space="preserve">1 </w:t>
      </w:r>
      <w:bookmarkEnd w:id="2"/>
      <w:r>
        <w:rPr>
          <w:color w:val="auto"/>
          <w:highlight w:val="none"/>
          <w:shd w:val="clear" w:color="auto" w:fill="auto"/>
        </w:rPr>
        <w:t xml:space="preserve"> </w:t>
      </w:r>
      <w:r>
        <w:rPr>
          <w:rFonts w:hint="eastAsia"/>
          <w:color w:val="auto"/>
          <w:highlight w:val="none"/>
          <w:shd w:val="clear" w:color="auto" w:fill="auto"/>
        </w:rPr>
        <w:t>资格审查条件</w:t>
      </w:r>
      <w:r>
        <w:rPr>
          <w:color w:val="auto"/>
          <w:highlight w:val="none"/>
          <w:shd w:val="clear" w:color="auto" w:fill="auto"/>
        </w:rPr>
        <w:t>(</w:t>
      </w:r>
      <w:r>
        <w:rPr>
          <w:rFonts w:hint="eastAsia"/>
          <w:color w:val="auto"/>
          <w:highlight w:val="none"/>
          <w:shd w:val="clear" w:color="auto" w:fill="auto"/>
        </w:rPr>
        <w:t>资质最低条件</w:t>
      </w:r>
      <w:r>
        <w:rPr>
          <w:color w:val="auto"/>
          <w:highlight w:val="none"/>
          <w:shd w:val="clear" w:color="auto" w:fill="auto"/>
        </w:rPr>
        <w:t>)</w:t>
      </w:r>
      <w:bookmarkEnd w:id="3"/>
    </w:p>
    <w:tbl>
      <w:tblPr>
        <w:tblStyle w:val="8"/>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90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blHeader/>
          <w:jc w:val="center"/>
        </w:trPr>
        <w:tc>
          <w:tcPr>
            <w:tcW w:w="9072" w:type="dxa"/>
            <w:vAlign w:val="center"/>
          </w:tcPr>
          <w:p>
            <w:pPr>
              <w:adjustRightInd w:val="0"/>
              <w:snapToGrid w:val="0"/>
              <w:spacing w:line="360" w:lineRule="auto"/>
              <w:jc w:val="center"/>
              <w:rPr>
                <w:rFonts w:cs="宋体" w:asciiTheme="minorEastAsia" w:hAnsiTheme="minorEastAsia"/>
                <w:b/>
                <w:bCs/>
                <w:color w:val="auto"/>
                <w:sz w:val="24"/>
                <w:szCs w:val="24"/>
                <w:highlight w:val="none"/>
              </w:rPr>
            </w:pPr>
            <w:r>
              <w:rPr>
                <w:rFonts w:hint="eastAsia" w:cs="宋体" w:asciiTheme="minorEastAsia" w:hAnsiTheme="minorEastAsia"/>
                <w:b/>
                <w:bCs/>
                <w:color w:val="auto"/>
                <w:sz w:val="24"/>
                <w:szCs w:val="24"/>
                <w:highlight w:val="none"/>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355" w:hRule="atLeast"/>
          <w:jc w:val="center"/>
        </w:trPr>
        <w:tc>
          <w:tcPr>
            <w:tcW w:w="9072" w:type="dxa"/>
            <w:vAlign w:val="center"/>
          </w:tcPr>
          <w:p>
            <w:pPr>
              <w:adjustRightInd w:val="0"/>
              <w:snapToGrid w:val="0"/>
              <w:spacing w:line="360" w:lineRule="auto"/>
              <w:ind w:firstLine="480" w:firstLineChars="200"/>
              <w:jc w:val="both"/>
              <w:rPr>
                <w:rFonts w:hint="default"/>
                <w:color w:val="auto"/>
                <w:highlight w:val="none"/>
                <w:lang w:val="en-US" w:eastAsia="zh-CN"/>
              </w:rPr>
            </w:pPr>
            <w:r>
              <w:rPr>
                <w:rFonts w:hint="eastAsia" w:ascii="宋体" w:hAnsi="宋体" w:eastAsia="宋体"/>
                <w:color w:val="auto"/>
                <w:sz w:val="24"/>
                <w:szCs w:val="24"/>
                <w:highlight w:val="none"/>
                <w:lang w:eastAsia="zh-CN"/>
              </w:rPr>
              <w:t>具有独立企业法人资格，持有有效企业营业执照。</w:t>
            </w:r>
          </w:p>
        </w:tc>
      </w:tr>
    </w:tbl>
    <w:p>
      <w:pPr>
        <w:pStyle w:val="11"/>
        <w:rPr>
          <w:color w:val="auto"/>
          <w:highlight w:val="none"/>
          <w:shd w:val="clear" w:color="auto" w:fill="auto"/>
        </w:rPr>
      </w:pPr>
    </w:p>
    <w:p>
      <w:pPr>
        <w:pStyle w:val="11"/>
        <w:rPr>
          <w:color w:val="auto"/>
          <w:highlight w:val="none"/>
          <w:shd w:val="clear" w:color="auto" w:fill="auto"/>
        </w:rPr>
      </w:pPr>
      <w:r>
        <w:rPr>
          <w:rFonts w:hint="eastAsia" w:ascii="宋体" w:hAnsi="宋体" w:cs="宋体"/>
          <w:b/>
          <w:color w:val="auto"/>
          <w:sz w:val="24"/>
          <w:szCs w:val="24"/>
          <w:highlight w:val="none"/>
          <w:lang w:eastAsia="zh-CN"/>
        </w:rPr>
        <w:t xml:space="preserve">附录2  </w:t>
      </w:r>
      <w:r>
        <w:rPr>
          <w:rFonts w:hint="eastAsia"/>
          <w:color w:val="auto"/>
          <w:highlight w:val="none"/>
          <w:shd w:val="clear" w:color="auto" w:fill="auto"/>
        </w:rPr>
        <w:t>信誉审查条件</w:t>
      </w:r>
      <w:r>
        <w:rPr>
          <w:color w:val="auto"/>
          <w:highlight w:val="none"/>
          <w:shd w:val="clear" w:color="auto" w:fill="auto"/>
        </w:rPr>
        <w:t>(</w:t>
      </w:r>
      <w:r>
        <w:rPr>
          <w:rFonts w:hint="eastAsia"/>
          <w:color w:val="auto"/>
          <w:highlight w:val="none"/>
          <w:shd w:val="clear" w:color="auto" w:fill="auto"/>
        </w:rPr>
        <w:t>信誉最低要求</w:t>
      </w:r>
      <w:r>
        <w:rPr>
          <w:color w:val="auto"/>
          <w:highlight w:val="none"/>
          <w:shd w:val="clear" w:color="auto" w:fill="auto"/>
        </w:rPr>
        <w:t>)</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9798" w:type="dxa"/>
            <w:vAlign w:val="center"/>
          </w:tcPr>
          <w:p>
            <w:pPr>
              <w:adjustRightInd w:val="0"/>
              <w:snapToGrid w:val="0"/>
              <w:spacing w:line="360" w:lineRule="auto"/>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lang w:eastAsia="zh-CN"/>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9798" w:type="dxa"/>
            <w:vAlign w:val="center"/>
          </w:tcPr>
          <w:p>
            <w:pPr>
              <w:adjustRightInd w:val="0"/>
              <w:snapToGrid w:val="0"/>
              <w:spacing w:line="360" w:lineRule="auto"/>
              <w:ind w:firstLine="480" w:firstLineChars="200"/>
              <w:jc w:val="both"/>
              <w:rPr>
                <w:rFonts w:asciiTheme="minorEastAsia" w:hAnsiTheme="minorEastAsia"/>
                <w:b/>
                <w:color w:val="auto"/>
                <w:sz w:val="24"/>
                <w:szCs w:val="24"/>
                <w:highlight w:val="none"/>
                <w:lang w:eastAsia="zh-CN"/>
              </w:rPr>
            </w:pPr>
            <w:r>
              <w:rPr>
                <w:rFonts w:hint="eastAsia" w:ascii="宋体" w:hAnsi="宋体" w:eastAsia="宋体"/>
                <w:color w:val="auto"/>
                <w:sz w:val="24"/>
                <w:szCs w:val="24"/>
                <w:highlight w:val="none"/>
                <w:lang w:eastAsia="zh-CN"/>
              </w:rPr>
              <w:t>投标人在过去1年中(2023年</w:t>
            </w: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lang w:eastAsia="zh-CN"/>
              </w:rPr>
              <w:t>月1日至今)不曾在车辆供货合同中违约而被驱逐或因投标人自身的原因而使车辆供货合同被解除。</w:t>
            </w:r>
          </w:p>
        </w:tc>
      </w:tr>
    </w:tbl>
    <w:p>
      <w:pPr>
        <w:widowControl/>
        <w:rPr>
          <w:rFonts w:asciiTheme="minorEastAsia" w:hAnsiTheme="minorEastAsia"/>
          <w:bCs/>
          <w:color w:val="auto"/>
          <w:sz w:val="52"/>
          <w:szCs w:val="52"/>
          <w:highlight w:val="none"/>
          <w:lang w:eastAsia="zh-CN"/>
        </w:rPr>
      </w:pPr>
      <w:r>
        <w:rPr>
          <w:rFonts w:asciiTheme="minorEastAsia" w:hAnsiTheme="minorEastAsia"/>
          <w:b/>
          <w:color w:val="auto"/>
          <w:sz w:val="52"/>
          <w:szCs w:val="52"/>
          <w:highlight w:val="none"/>
          <w:lang w:eastAsia="zh-CN"/>
        </w:rPr>
        <w:br w:type="page"/>
      </w:r>
    </w:p>
    <w:p>
      <w:pPr>
        <w:pStyle w:val="2"/>
        <w:ind w:left="110" w:firstLine="0"/>
        <w:rPr>
          <w:rFonts w:ascii="宋体" w:hAnsi="宋体" w:cs="宋体"/>
          <w:color w:val="auto"/>
          <w:highlight w:val="none"/>
        </w:rPr>
      </w:pPr>
      <w:r>
        <w:rPr>
          <w:rFonts w:hint="eastAsia" w:ascii="宋体" w:hAnsi="宋体" w:cs="宋体"/>
          <w:color w:val="auto"/>
          <w:highlight w:val="none"/>
        </w:rPr>
        <w:t>附件2：评标办法（综合评估法）</w:t>
      </w:r>
    </w:p>
    <w:p>
      <w:pPr>
        <w:autoSpaceDE w:val="0"/>
        <w:autoSpaceDN w:val="0"/>
        <w:adjustRightInd w:val="0"/>
        <w:snapToGrid w:val="0"/>
        <w:spacing w:line="360" w:lineRule="auto"/>
        <w:ind w:right="113"/>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评标办法前附表</w:t>
      </w:r>
    </w:p>
    <w:tbl>
      <w:tblPr>
        <w:tblStyle w:val="8"/>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546"/>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689" w:type="dxa"/>
            <w:gridSpan w:val="2"/>
            <w:vAlign w:val="center"/>
          </w:tcPr>
          <w:p>
            <w:pPr>
              <w:adjustRightInd w:val="0"/>
              <w:snapToGrid w:val="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6968" w:type="dxa"/>
            <w:vAlign w:val="center"/>
          </w:tcPr>
          <w:p>
            <w:pPr>
              <w:adjustRightInd w:val="0"/>
              <w:snapToGrid w:val="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77" w:hRule="atLeast"/>
          <w:jc w:val="center"/>
        </w:trPr>
        <w:tc>
          <w:tcPr>
            <w:tcW w:w="1143" w:type="dxa"/>
            <w:vAlign w:val="center"/>
          </w:tcPr>
          <w:p>
            <w:pPr>
              <w:snapToGrid w:val="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546" w:type="dxa"/>
            <w:vAlign w:val="center"/>
          </w:tcPr>
          <w:p>
            <w:pPr>
              <w:snapToGrid w:val="0"/>
              <w:jc w:val="center"/>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评标办法</w:t>
            </w:r>
          </w:p>
        </w:tc>
        <w:tc>
          <w:tcPr>
            <w:tcW w:w="6968" w:type="dxa"/>
            <w:vAlign w:val="center"/>
          </w:tcPr>
          <w:p>
            <w:pPr>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本条修改为：</w:t>
            </w:r>
          </w:p>
          <w:p>
            <w:pPr>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本次评标采用综合评估法。评标委员会对满足招标文件实质性要求的投标文件，按照本章第2.2款规定的评分标准进行打分，并按综合得分由高到低顺序推荐1-3名中标候选人。</w:t>
            </w:r>
            <w:r>
              <w:rPr>
                <w:rFonts w:hint="eastAsia" w:ascii="宋体" w:hAnsi="宋体" w:eastAsia="宋体"/>
                <w:color w:val="auto"/>
                <w:sz w:val="24"/>
                <w:szCs w:val="24"/>
                <w:highlight w:val="none"/>
                <w:lang w:eastAsia="zh-CN"/>
              </w:rPr>
              <w:t>当综合得分相等时按以下顺序推荐中标候选人：</w:t>
            </w:r>
          </w:p>
          <w:p>
            <w:pPr>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w:t>
            </w:r>
            <w:r>
              <w:rPr>
                <w:rFonts w:hint="eastAsia" w:ascii="宋体" w:hAnsi="宋体" w:eastAsia="宋体"/>
                <w:color w:val="auto"/>
                <w:sz w:val="24"/>
                <w:szCs w:val="24"/>
                <w:highlight w:val="none"/>
                <w:lang w:eastAsia="zh-CN"/>
              </w:rPr>
              <w:t>1</w:t>
            </w:r>
            <w:r>
              <w:rPr>
                <w:rFonts w:ascii="宋体" w:hAnsi="宋体" w:eastAsia="宋体"/>
                <w:color w:val="auto"/>
                <w:sz w:val="24"/>
                <w:szCs w:val="24"/>
                <w:highlight w:val="none"/>
                <w:lang w:eastAsia="zh-CN"/>
              </w:rPr>
              <w:t>）以评标价低的优先</w:t>
            </w:r>
            <w:r>
              <w:rPr>
                <w:rFonts w:hint="eastAsia" w:ascii="宋体" w:hAnsi="宋体" w:eastAsia="宋体"/>
                <w:color w:val="auto"/>
                <w:sz w:val="24"/>
                <w:szCs w:val="24"/>
                <w:highlight w:val="none"/>
                <w:lang w:eastAsia="zh-CN"/>
              </w:rPr>
              <w:t>；</w:t>
            </w:r>
          </w:p>
          <w:p>
            <w:pPr>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（2）当评标价相等时，以技术</w:t>
            </w:r>
            <w:r>
              <w:rPr>
                <w:rFonts w:hint="eastAsia" w:ascii="宋体" w:hAnsi="宋体" w:eastAsia="宋体"/>
                <w:color w:val="auto"/>
                <w:sz w:val="24"/>
                <w:szCs w:val="24"/>
                <w:highlight w:val="none"/>
                <w:lang w:eastAsia="zh-CN"/>
              </w:rPr>
              <w:t>部分</w:t>
            </w:r>
            <w:r>
              <w:rPr>
                <w:rFonts w:ascii="宋体" w:hAnsi="宋体" w:eastAsia="宋体"/>
                <w:color w:val="auto"/>
                <w:sz w:val="24"/>
                <w:szCs w:val="24"/>
                <w:highlight w:val="none"/>
                <w:lang w:eastAsia="zh-CN"/>
              </w:rPr>
              <w:t>得分高的优先</w:t>
            </w:r>
            <w:r>
              <w:rPr>
                <w:rFonts w:hint="eastAsia" w:ascii="宋体" w:hAnsi="宋体" w:eastAsia="宋体"/>
                <w:color w:val="auto"/>
                <w:sz w:val="24"/>
                <w:szCs w:val="24"/>
                <w:highlight w:val="none"/>
                <w:lang w:eastAsia="zh-CN"/>
              </w:rPr>
              <w:t>；</w:t>
            </w:r>
          </w:p>
          <w:p>
            <w:pPr>
              <w:rPr>
                <w:rFonts w:ascii="宋体" w:hAnsi="宋体" w:eastAsia="宋体"/>
                <w:color w:val="auto"/>
                <w:sz w:val="24"/>
                <w:szCs w:val="24"/>
                <w:highlight w:val="none"/>
                <w:lang w:eastAsia="zh-CN"/>
              </w:rPr>
            </w:pPr>
            <w:r>
              <w:rPr>
                <w:rFonts w:ascii="宋体" w:hAnsi="宋体" w:eastAsia="宋体"/>
                <w:color w:val="auto"/>
                <w:sz w:val="24"/>
                <w:szCs w:val="24"/>
                <w:highlight w:val="none"/>
                <w:lang w:eastAsia="zh-CN"/>
              </w:rPr>
              <w:t>（</w:t>
            </w:r>
            <w:r>
              <w:rPr>
                <w:rFonts w:hint="eastAsia" w:ascii="宋体" w:hAnsi="宋体" w:eastAsia="宋体"/>
                <w:color w:val="auto"/>
                <w:sz w:val="24"/>
                <w:szCs w:val="24"/>
                <w:highlight w:val="none"/>
                <w:lang w:eastAsia="zh-CN"/>
              </w:rPr>
              <w:t>3</w:t>
            </w:r>
            <w:r>
              <w:rPr>
                <w:rFonts w:ascii="宋体" w:hAnsi="宋体" w:eastAsia="宋体"/>
                <w:color w:val="auto"/>
                <w:sz w:val="24"/>
                <w:szCs w:val="24"/>
                <w:highlight w:val="none"/>
                <w:lang w:eastAsia="zh-CN"/>
              </w:rPr>
              <w:t>）技术</w:t>
            </w:r>
            <w:r>
              <w:rPr>
                <w:rFonts w:hint="eastAsia" w:ascii="宋体" w:hAnsi="宋体" w:eastAsia="宋体"/>
                <w:color w:val="auto"/>
                <w:sz w:val="24"/>
                <w:szCs w:val="24"/>
                <w:highlight w:val="none"/>
                <w:lang w:eastAsia="zh-CN"/>
              </w:rPr>
              <w:t>部分</w:t>
            </w:r>
            <w:r>
              <w:rPr>
                <w:rFonts w:ascii="宋体" w:hAnsi="宋体" w:eastAsia="宋体"/>
                <w:color w:val="auto"/>
                <w:sz w:val="24"/>
                <w:szCs w:val="24"/>
                <w:highlight w:val="none"/>
                <w:lang w:eastAsia="zh-CN"/>
              </w:rPr>
              <w:t>得分</w:t>
            </w:r>
            <w:r>
              <w:rPr>
                <w:rFonts w:hint="eastAsia" w:ascii="宋体" w:hAnsi="宋体" w:eastAsia="宋体"/>
                <w:color w:val="auto"/>
                <w:sz w:val="24"/>
                <w:szCs w:val="24"/>
                <w:highlight w:val="none"/>
                <w:lang w:val="en-US" w:eastAsia="zh-CN"/>
              </w:rPr>
              <w:t>也</w:t>
            </w:r>
            <w:r>
              <w:rPr>
                <w:rFonts w:ascii="宋体" w:hAnsi="宋体" w:eastAsia="宋体"/>
                <w:color w:val="auto"/>
                <w:sz w:val="24"/>
                <w:szCs w:val="24"/>
                <w:highlight w:val="none"/>
                <w:lang w:eastAsia="zh-CN"/>
              </w:rPr>
              <w:t>相等</w:t>
            </w:r>
            <w:r>
              <w:rPr>
                <w:rFonts w:hint="eastAsia" w:ascii="宋体" w:hAnsi="宋体" w:eastAsia="宋体"/>
                <w:color w:val="auto"/>
                <w:sz w:val="24"/>
                <w:szCs w:val="24"/>
                <w:highlight w:val="none"/>
                <w:lang w:eastAsia="zh-CN"/>
              </w:rPr>
              <w:t>时</w:t>
            </w:r>
            <w:r>
              <w:rPr>
                <w:rFonts w:ascii="宋体" w:hAnsi="宋体" w:eastAsia="宋体"/>
                <w:color w:val="auto"/>
                <w:sz w:val="24"/>
                <w:szCs w:val="24"/>
                <w:highlight w:val="none"/>
                <w:lang w:eastAsia="zh-CN"/>
              </w:rPr>
              <w:t>，由评标委员会投票确定。</w:t>
            </w:r>
          </w:p>
          <w:p>
            <w:pPr>
              <w:pStyle w:val="3"/>
              <w:rPr>
                <w:lang w:eastAsia="zh-CN"/>
              </w:rPr>
            </w:pPr>
            <w:r>
              <w:rPr>
                <w:rFonts w:hint="eastAsia" w:ascii="宋体" w:hAnsi="宋体" w:eastAsia="宋体" w:cstheme="minorBidi"/>
                <w:color w:val="auto"/>
                <w:sz w:val="24"/>
                <w:szCs w:val="24"/>
                <w:highlight w:val="none"/>
                <w:lang w:val="en-US" w:eastAsia="zh-CN" w:bidi="ar-SA"/>
              </w:rPr>
              <w:t>注：本项目</w:t>
            </w:r>
            <w:r>
              <w:rPr>
                <w:rFonts w:hint="eastAsia" w:cstheme="minorBidi"/>
                <w:color w:val="auto"/>
                <w:sz w:val="24"/>
                <w:szCs w:val="24"/>
                <w:highlight w:val="none"/>
                <w:lang w:val="en-US" w:eastAsia="zh-CN" w:bidi="ar-SA"/>
              </w:rPr>
              <w:t>标段1、标段2和标段4</w:t>
            </w:r>
            <w:r>
              <w:rPr>
                <w:rFonts w:hint="eastAsia" w:ascii="宋体" w:hAnsi="宋体" w:eastAsia="宋体" w:cstheme="minorBidi"/>
                <w:color w:val="auto"/>
                <w:sz w:val="24"/>
                <w:szCs w:val="24"/>
                <w:highlight w:val="none"/>
                <w:lang w:val="en-US" w:eastAsia="zh-CN" w:bidi="ar-SA"/>
              </w:rPr>
              <w:t>的</w:t>
            </w:r>
            <w:r>
              <w:rPr>
                <w:rFonts w:hint="eastAsia" w:cstheme="minorBidi"/>
                <w:color w:val="auto"/>
                <w:sz w:val="24"/>
                <w:szCs w:val="24"/>
                <w:highlight w:val="none"/>
                <w:lang w:val="en-US" w:eastAsia="zh-CN" w:bidi="ar-SA"/>
              </w:rPr>
              <w:t>中标人（或</w:t>
            </w:r>
            <w:r>
              <w:rPr>
                <w:rFonts w:hint="eastAsia" w:ascii="宋体" w:hAnsi="宋体" w:eastAsia="宋体" w:cstheme="minorBidi"/>
                <w:color w:val="auto"/>
                <w:sz w:val="24"/>
                <w:szCs w:val="24"/>
                <w:highlight w:val="none"/>
                <w:lang w:val="en-US" w:eastAsia="zh-CN" w:bidi="ar-SA"/>
              </w:rPr>
              <w:t>第一中标候选人</w:t>
            </w:r>
            <w:r>
              <w:rPr>
                <w:rFonts w:hint="eastAsia" w:cstheme="minorBidi"/>
                <w:color w:val="auto"/>
                <w:sz w:val="24"/>
                <w:szCs w:val="24"/>
                <w:highlight w:val="none"/>
                <w:lang w:val="en-US" w:eastAsia="zh-CN" w:bidi="ar-SA"/>
              </w:rPr>
              <w:t>）</w:t>
            </w:r>
            <w:r>
              <w:rPr>
                <w:rFonts w:hint="eastAsia" w:ascii="宋体" w:hAnsi="宋体" w:eastAsia="宋体" w:cstheme="minorBidi"/>
                <w:color w:val="auto"/>
                <w:sz w:val="24"/>
                <w:szCs w:val="24"/>
                <w:highlight w:val="none"/>
                <w:lang w:val="en-US" w:eastAsia="zh-CN" w:bidi="ar-SA"/>
              </w:rPr>
              <w:t>将不被推荐为</w:t>
            </w:r>
            <w:r>
              <w:rPr>
                <w:rFonts w:hint="eastAsia" w:cstheme="minorBidi"/>
                <w:color w:val="auto"/>
                <w:sz w:val="24"/>
                <w:szCs w:val="24"/>
                <w:highlight w:val="none"/>
                <w:lang w:val="en-US" w:eastAsia="zh-CN" w:bidi="ar-SA"/>
              </w:rPr>
              <w:t>标段3的</w:t>
            </w:r>
            <w:r>
              <w:rPr>
                <w:rFonts w:hint="eastAsia" w:ascii="宋体" w:hAnsi="宋体" w:eastAsia="宋体" w:cstheme="minorBidi"/>
                <w:color w:val="auto"/>
                <w:sz w:val="24"/>
                <w:szCs w:val="24"/>
                <w:highlight w:val="none"/>
                <w:lang w:val="en-US" w:eastAsia="zh-CN" w:bidi="ar-SA"/>
              </w:rPr>
              <w:t>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1546" w:type="dxa"/>
            <w:vAlign w:val="center"/>
          </w:tcPr>
          <w:p>
            <w:pPr>
              <w:adjustRightInd w:val="0"/>
              <w:snapToGrid w:val="0"/>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形式评审与响应性评审标准</w:t>
            </w:r>
          </w:p>
        </w:tc>
        <w:tc>
          <w:tcPr>
            <w:tcW w:w="6968" w:type="dxa"/>
            <w:vAlign w:val="center"/>
          </w:tcPr>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（1）投标文件按照招标文件规定的格式、内容填写，字迹清晰可辨：</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a.投标函按照招标文件规定填报了招标人名称、项目名称、标段号、补遗书编号（如有）、交货地点、交货期、质量要求、投标报价（包括大写金额和小写金额）；</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b.投标文件组成齐全完整，内容均按规定填写；</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（2）投标文件上法定代表人或其委托代理人的签字、投标人的单位章盖章齐全，符合招标文件规定：</w:t>
            </w:r>
          </w:p>
          <w:p>
            <w:pPr>
              <w:snapToGrid w:val="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（3）投标人按照招标文件的规定提供了投标保证金，满足投标人须知3.4.1规定。</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（4）投标人法定代表人授权委托代理人签署投标文件的，须提交授权委托书，授权委托书的签字盖章符合招标文件规定。</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（5）投标人法定代表人亲自签署投标文件的，提供了法定代表人身份证明,法定代表人身份证明的签字盖章符合招标文件规定。</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（6）投标人未以联合体形式投标。</w:t>
            </w:r>
          </w:p>
          <w:p>
            <w:pPr>
              <w:snapToGrid w:val="0"/>
              <w:ind w:right="113"/>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（7）投标人未对本项目进行分包。</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（8）同一投标人对同一标段未提交两个以上不同的投标文件。</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（9）投标文件载明的招标项目完成期限未超过招标文件规定的时限。</w:t>
            </w:r>
          </w:p>
          <w:p>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（10）投标文件对招标文件的实质性要求和条件作出响应。</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（11）投标文件满足招标文件</w:t>
            </w:r>
            <w:r>
              <w:rPr>
                <w:rFonts w:hint="eastAsia" w:ascii="宋体" w:hAnsi="宋体" w:eastAsia="宋体" w:cs="宋体"/>
                <w:color w:val="auto"/>
                <w:sz w:val="24"/>
                <w:szCs w:val="24"/>
                <w:highlight w:val="none"/>
                <w:lang w:val="en-US" w:eastAsia="zh-CN"/>
              </w:rPr>
              <w:t>供货要求中</w:t>
            </w:r>
            <w:r>
              <w:rPr>
                <w:rFonts w:hint="eastAsia" w:ascii="宋体" w:hAnsi="宋体" w:eastAsia="宋体" w:cs="宋体"/>
                <w:color w:val="auto"/>
                <w:sz w:val="24"/>
                <w:szCs w:val="24"/>
                <w:highlight w:val="none"/>
                <w:lang w:eastAsia="zh-CN"/>
              </w:rPr>
              <w:t>（带</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的条款）的要求。</w:t>
            </w:r>
          </w:p>
          <w:p>
            <w:pPr>
              <w:snapToGrid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（12）技术支持资料符合第二章“投标人须知”第1.11.3项规定</w:t>
            </w:r>
            <w:r>
              <w:rPr>
                <w:rFonts w:hint="eastAsia" w:ascii="宋体" w:hAnsi="宋体" w:eastAsia="宋体" w:cs="宋体"/>
                <w:color w:val="auto"/>
                <w:sz w:val="24"/>
                <w:szCs w:val="24"/>
                <w:highlight w:val="none"/>
                <w:lang w:val="en-US" w:eastAsia="zh-CN"/>
              </w:rPr>
              <w:t>。</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w:t>
            </w:r>
            <w:r>
              <w:rPr>
                <w:rFonts w:hint="eastAsia" w:ascii="宋体" w:hAnsi="宋体" w:eastAsia="宋体" w:cs="宋体"/>
                <w:color w:val="auto"/>
                <w:sz w:val="24"/>
                <w:szCs w:val="24"/>
                <w:highlight w:val="none"/>
                <w:lang w:eastAsia="zh-CN" w:bidi="ar"/>
              </w:rPr>
              <w:t>递交的投标文件与所</w:t>
            </w:r>
            <w:r>
              <w:rPr>
                <w:rFonts w:hint="eastAsia" w:ascii="宋体" w:hAnsi="宋体" w:eastAsia="宋体" w:cs="宋体"/>
                <w:strike w:val="0"/>
                <w:dstrike w:val="0"/>
                <w:color w:val="auto"/>
                <w:sz w:val="24"/>
                <w:szCs w:val="24"/>
                <w:highlight w:val="none"/>
                <w:lang w:eastAsia="zh-CN" w:bidi="ar"/>
              </w:rPr>
              <w:t>投</w:t>
            </w:r>
            <w:r>
              <w:rPr>
                <w:rFonts w:hint="eastAsia" w:ascii="宋体" w:hAnsi="宋体" w:eastAsia="宋体" w:cs="宋体"/>
                <w:color w:val="auto"/>
                <w:sz w:val="24"/>
                <w:szCs w:val="24"/>
                <w:highlight w:val="none"/>
                <w:lang w:eastAsia="zh-CN" w:bidi="ar"/>
              </w:rPr>
              <w:t>标段一致</w:t>
            </w:r>
            <w:r>
              <w:rPr>
                <w:rFonts w:hint="eastAsia" w:ascii="宋体" w:hAnsi="宋体" w:eastAsia="宋体" w:cs="宋体"/>
                <w:color w:val="auto"/>
                <w:sz w:val="24"/>
                <w:szCs w:val="24"/>
                <w:highlight w:val="none"/>
                <w:lang w:eastAsia="zh-CN"/>
              </w:rPr>
              <w:t>。</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（14）权利义务符合招标文件规定：</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a．投标人应接受招标文件规定的风险划分原则，未提出新的风险划分办法；</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b．投标人未增加发包人的责任范围，或减少投标人义务；</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c．投标人未提出不同的工程验收、计量、支付办法；</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d．投标人对合同纠纷、事故处理办法未提出异议；</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e．投标人在投标活动中无欺诈行为；</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f．投标人未对合同条款有重要保留</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ascii="Times New Roman" w:hAnsi="Times New Roman" w:eastAsia="宋体" w:cs="Times New Roman"/>
                <w:color w:val="auto"/>
                <w:sz w:val="24"/>
                <w:szCs w:val="24"/>
                <w:highlight w:val="none"/>
                <w:lang w:eastAsia="zh-CN"/>
              </w:rPr>
              <w:t>投标人名称与营业执照一致，如企业名称有变更的，应提供其变更记录或相关部门的合法批件复印件</w:t>
            </w:r>
            <w:r>
              <w:rPr>
                <w:rFonts w:hint="eastAsia" w:ascii="宋体" w:hAnsi="宋体" w:eastAsia="宋体" w:cs="宋体"/>
                <w:color w:val="auto"/>
                <w:sz w:val="24"/>
                <w:szCs w:val="24"/>
                <w:highlight w:val="none"/>
                <w:lang w:eastAsia="zh-CN"/>
              </w:rPr>
              <w:t>。</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）投标报价未超过招标文件设定的最高限价。</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）投标报价的大写金额能够确定具体数值。</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eastAsia="zh-CN"/>
              </w:rPr>
              <w:t>）同一投标人对同一标段未提交两个以上不同的投标报价。</w:t>
            </w:r>
          </w:p>
          <w:p>
            <w:pPr>
              <w:snapToGrid w:val="0"/>
              <w:rPr>
                <w:rFonts w:ascii="宋体" w:hAnsi="宋体" w:eastAsia="宋体" w:cs="宋体"/>
                <w:color w:val="auto"/>
                <w:sz w:val="24"/>
                <w:szCs w:val="24"/>
                <w:highlight w:val="none"/>
                <w:lang w:eastAsia="zh-CN"/>
              </w:rPr>
            </w:pP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lang w:val="en-US" w:eastAsia="zh-CN"/>
              </w:rPr>
              <w:t>19</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color w:val="auto"/>
                <w:sz w:val="24"/>
                <w:szCs w:val="24"/>
                <w:highlight w:val="none"/>
                <w:lang w:eastAsia="zh-CN"/>
              </w:rPr>
              <w:t>投标报价表和投标函大写金额报价一致的。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6" w:hRule="atLeast"/>
          <w:jc w:val="center"/>
        </w:trPr>
        <w:tc>
          <w:tcPr>
            <w:tcW w:w="1143"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1546"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资格评审标准</w:t>
            </w:r>
          </w:p>
        </w:tc>
        <w:tc>
          <w:tcPr>
            <w:tcW w:w="6968" w:type="dxa"/>
            <w:vAlign w:val="center"/>
          </w:tcPr>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（1）投标人具备有效的企业营业执照、组织机构代码证（三证合一或五证合一的除外）和基本账户开户许可证（或基本存款账户信息）；</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（2）投标人的资质等级符合招标文件规定；</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（3）投标人的信誉符合招标文件规定；</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（4）投标人不存在第二章“投标人须知”第1.4.3项规定的任何一种情形。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vAlign w:val="center"/>
          </w:tcPr>
          <w:p>
            <w:pPr>
              <w:adjustRightInd w:val="0"/>
              <w:snapToGrid w:val="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546" w:type="dxa"/>
            <w:vAlign w:val="center"/>
          </w:tcPr>
          <w:p>
            <w:pPr>
              <w:adjustRightInd w:val="0"/>
              <w:snapToGrid w:val="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条款内容</w:t>
            </w:r>
          </w:p>
        </w:tc>
        <w:tc>
          <w:tcPr>
            <w:tcW w:w="6968" w:type="dxa"/>
            <w:vAlign w:val="center"/>
          </w:tcPr>
          <w:p>
            <w:pPr>
              <w:adjustRightInd w:val="0"/>
              <w:snapToGrid w:val="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546" w:type="dxa"/>
            <w:vAlign w:val="center"/>
          </w:tcPr>
          <w:p>
            <w:pPr>
              <w:adjustRightInd w:val="0"/>
              <w:snapToGrid w:val="0"/>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分值构成</w:t>
            </w:r>
          </w:p>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（总分100分）</w:t>
            </w:r>
          </w:p>
        </w:tc>
        <w:tc>
          <w:tcPr>
            <w:tcW w:w="6968" w:type="dxa"/>
            <w:vAlign w:val="center"/>
          </w:tcPr>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技术部分：60分</w:t>
            </w:r>
          </w:p>
          <w:p>
            <w:pPr>
              <w:adjustRightInd w:val="0"/>
              <w:snapToGrid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vAlign w:val="center"/>
          </w:tcPr>
          <w:p>
            <w:pPr>
              <w:adjustRightInd w:val="0"/>
              <w:snapToGrid w:val="0"/>
              <w:spacing w:line="240" w:lineRule="auto"/>
              <w:jc w:val="center"/>
              <w:rPr>
                <w:rFonts w:hint="eastAsia"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2.3.2</w:t>
            </w:r>
          </w:p>
        </w:tc>
        <w:tc>
          <w:tcPr>
            <w:tcW w:w="1546" w:type="dxa"/>
            <w:vAlign w:val="center"/>
          </w:tcPr>
          <w:p>
            <w:pPr>
              <w:adjustRightInd w:val="0"/>
              <w:snapToGrid w:val="0"/>
              <w:spacing w:line="240" w:lineRule="auto"/>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评标基准价</w:t>
            </w:r>
          </w:p>
          <w:p>
            <w:pPr>
              <w:adjustRightInd w:val="0"/>
              <w:snapToGrid w:val="0"/>
              <w:spacing w:line="240" w:lineRule="auto"/>
              <w:jc w:val="center"/>
              <w:rPr>
                <w:rFonts w:hint="eastAsia"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计算方法</w:t>
            </w:r>
          </w:p>
        </w:tc>
        <w:tc>
          <w:tcPr>
            <w:tcW w:w="6968" w:type="dxa"/>
            <w:vAlign w:val="center"/>
          </w:tcPr>
          <w:p>
            <w:pPr>
              <w:pStyle w:val="7"/>
              <w:spacing w:line="240" w:lineRule="auto"/>
              <w:ind w:left="0" w:leftChars="0" w:firstLine="0" w:firstLineChars="0"/>
              <w:rPr>
                <w:color w:val="auto"/>
                <w:sz w:val="24"/>
                <w:highlight w:val="none"/>
              </w:rPr>
            </w:pPr>
            <w:r>
              <w:rPr>
                <w:color w:val="auto"/>
                <w:sz w:val="24"/>
                <w:highlight w:val="none"/>
              </w:rPr>
              <w:t>评标基准价的计算：</w:t>
            </w:r>
          </w:p>
          <w:p>
            <w:pPr>
              <w:pStyle w:val="7"/>
              <w:spacing w:line="240" w:lineRule="auto"/>
              <w:ind w:left="0" w:leftChars="0" w:firstLine="0" w:firstLineChars="0"/>
              <w:rPr>
                <w:color w:val="auto"/>
                <w:sz w:val="24"/>
                <w:highlight w:val="none"/>
              </w:rPr>
            </w:pPr>
            <w:r>
              <w:rPr>
                <w:color w:val="auto"/>
                <w:sz w:val="24"/>
                <w:highlight w:val="none"/>
              </w:rPr>
              <w:t>1、评标价的确定：</w:t>
            </w:r>
          </w:p>
          <w:p>
            <w:pPr>
              <w:pStyle w:val="7"/>
              <w:spacing w:line="240" w:lineRule="auto"/>
              <w:ind w:left="0" w:leftChars="0" w:firstLine="0" w:firstLineChars="0"/>
              <w:rPr>
                <w:color w:val="auto"/>
                <w:sz w:val="24"/>
                <w:highlight w:val="none"/>
              </w:rPr>
            </w:pPr>
            <w:r>
              <w:rPr>
                <w:color w:val="auto"/>
                <w:sz w:val="24"/>
                <w:highlight w:val="none"/>
              </w:rPr>
              <w:t>评标价=投标函文字报价</w:t>
            </w:r>
          </w:p>
          <w:p>
            <w:pPr>
              <w:pStyle w:val="7"/>
              <w:spacing w:line="240" w:lineRule="auto"/>
              <w:ind w:left="0" w:leftChars="0" w:firstLine="0" w:firstLineChars="0"/>
              <w:rPr>
                <w:color w:val="auto"/>
                <w:sz w:val="24"/>
                <w:highlight w:val="none"/>
              </w:rPr>
            </w:pPr>
            <w:r>
              <w:rPr>
                <w:color w:val="auto"/>
                <w:sz w:val="24"/>
                <w:highlight w:val="none"/>
              </w:rPr>
              <w:t>2、评标价平均值的计算：</w:t>
            </w:r>
          </w:p>
          <w:p>
            <w:pPr>
              <w:pStyle w:val="7"/>
              <w:spacing w:line="240" w:lineRule="auto"/>
              <w:ind w:left="0" w:leftChars="0" w:firstLine="0" w:firstLineChars="0"/>
              <w:rPr>
                <w:color w:val="auto"/>
                <w:sz w:val="24"/>
                <w:highlight w:val="none"/>
              </w:rPr>
            </w:pPr>
            <w:r>
              <w:rPr>
                <w:color w:val="auto"/>
                <w:sz w:val="24"/>
                <w:highlight w:val="none"/>
              </w:rPr>
              <w:t>所有投标人的评标价去掉规定个数的最高值和最低值后的算术平均值即为评标价平均值。</w:t>
            </w:r>
          </w:p>
          <w:p>
            <w:pPr>
              <w:snapToGrid w:val="0"/>
              <w:spacing w:line="240" w:lineRule="auto"/>
              <w:rPr>
                <w:rFonts w:ascii="Times New Roman" w:hAnsi="Times New Roman" w:eastAsia="宋体" w:cs="Times New Roman"/>
                <w:color w:val="auto"/>
                <w:spacing w:val="-4"/>
                <w:sz w:val="24"/>
                <w:szCs w:val="24"/>
                <w:highlight w:val="none"/>
                <w:lang w:eastAsia="zh-CN"/>
              </w:rPr>
            </w:pPr>
            <w:r>
              <w:rPr>
                <w:rFonts w:ascii="Times New Roman" w:hAnsi="Times New Roman" w:eastAsia="宋体" w:cs="Times New Roman"/>
                <w:color w:val="auto"/>
                <w:spacing w:val="-4"/>
                <w:sz w:val="24"/>
                <w:szCs w:val="24"/>
                <w:highlight w:val="none"/>
                <w:lang w:eastAsia="zh-CN"/>
              </w:rPr>
              <w:t xml:space="preserve">a、如果参与评标价平均值计算的投标人数量＜6家时，计算评标价平均值时不去最高值和最低值。 </w:t>
            </w:r>
          </w:p>
          <w:p>
            <w:pPr>
              <w:snapToGrid w:val="0"/>
              <w:spacing w:line="240" w:lineRule="auto"/>
              <w:rPr>
                <w:rFonts w:ascii="Times New Roman" w:hAnsi="Times New Roman" w:eastAsia="宋体" w:cs="Times New Roman"/>
                <w:color w:val="auto"/>
                <w:spacing w:val="-4"/>
                <w:sz w:val="24"/>
                <w:szCs w:val="24"/>
                <w:highlight w:val="none"/>
                <w:lang w:eastAsia="zh-CN"/>
              </w:rPr>
            </w:pPr>
            <w:r>
              <w:rPr>
                <w:rFonts w:ascii="Times New Roman" w:hAnsi="Times New Roman" w:eastAsia="宋体" w:cs="Times New Roman"/>
                <w:color w:val="auto"/>
                <w:spacing w:val="-4"/>
                <w:sz w:val="24"/>
                <w:szCs w:val="24"/>
                <w:highlight w:val="none"/>
                <w:lang w:eastAsia="zh-CN"/>
              </w:rPr>
              <w:t xml:space="preserve">b、如果6家≤参与评标价平均值计算的投标人数量＜10家时，计算评标价平均值时去掉1个最高值和1个最低值。 </w:t>
            </w:r>
          </w:p>
          <w:p>
            <w:pPr>
              <w:snapToGrid w:val="0"/>
              <w:spacing w:line="240" w:lineRule="auto"/>
              <w:rPr>
                <w:rFonts w:ascii="Times New Roman" w:hAnsi="Times New Roman" w:eastAsia="宋体" w:cs="Times New Roman"/>
                <w:color w:val="auto"/>
                <w:spacing w:val="-4"/>
                <w:sz w:val="24"/>
                <w:szCs w:val="24"/>
                <w:highlight w:val="none"/>
                <w:lang w:eastAsia="zh-CN"/>
              </w:rPr>
            </w:pPr>
            <w:r>
              <w:rPr>
                <w:rFonts w:ascii="Times New Roman" w:hAnsi="Times New Roman" w:eastAsia="宋体" w:cs="Times New Roman"/>
                <w:color w:val="auto"/>
                <w:spacing w:val="-4"/>
                <w:sz w:val="24"/>
                <w:szCs w:val="24"/>
                <w:highlight w:val="none"/>
                <w:lang w:eastAsia="zh-CN"/>
              </w:rPr>
              <w:t xml:space="preserve">c、如果10家≤参与评标价平均值计算的投标人数量＜20家时，计算评标价平均值时去掉2个最高值和2个最低值； </w:t>
            </w:r>
          </w:p>
          <w:p>
            <w:pPr>
              <w:snapToGrid w:val="0"/>
              <w:spacing w:line="240" w:lineRule="auto"/>
              <w:rPr>
                <w:rFonts w:ascii="Times New Roman" w:hAnsi="Times New Roman" w:eastAsia="宋体" w:cs="Times New Roman"/>
                <w:color w:val="auto"/>
                <w:spacing w:val="-4"/>
                <w:sz w:val="24"/>
                <w:szCs w:val="24"/>
                <w:highlight w:val="none"/>
                <w:lang w:eastAsia="zh-CN"/>
              </w:rPr>
            </w:pPr>
            <w:r>
              <w:rPr>
                <w:rFonts w:ascii="Times New Roman" w:hAnsi="Times New Roman" w:eastAsia="宋体" w:cs="Times New Roman"/>
                <w:color w:val="auto"/>
                <w:spacing w:val="-4"/>
                <w:sz w:val="24"/>
                <w:szCs w:val="24"/>
                <w:highlight w:val="none"/>
                <w:lang w:eastAsia="zh-CN"/>
              </w:rPr>
              <w:t xml:space="preserve">d、如果20家≤参与评标价平均值计算的投标人数量＜30家时，计算评标价平均值时去掉3个最高值和3个最低值； </w:t>
            </w:r>
          </w:p>
          <w:p>
            <w:pPr>
              <w:pStyle w:val="7"/>
              <w:spacing w:line="240" w:lineRule="auto"/>
              <w:ind w:left="0" w:leftChars="0" w:firstLine="0" w:firstLineChars="0"/>
              <w:rPr>
                <w:color w:val="auto"/>
                <w:spacing w:val="-4"/>
                <w:sz w:val="24"/>
                <w:highlight w:val="none"/>
              </w:rPr>
            </w:pPr>
            <w:r>
              <w:rPr>
                <w:color w:val="auto"/>
                <w:spacing w:val="-4"/>
                <w:sz w:val="24"/>
                <w:highlight w:val="none"/>
              </w:rPr>
              <w:t>e、如果30家≤参与评标价平均值计算的投标人数量时，计算评标价平均值时去掉5个最高值和5个最低值；</w:t>
            </w:r>
          </w:p>
          <w:p>
            <w:pPr>
              <w:pStyle w:val="7"/>
              <w:spacing w:line="240" w:lineRule="auto"/>
              <w:ind w:left="0" w:leftChars="0" w:firstLine="0" w:firstLineChars="0"/>
              <w:rPr>
                <w:color w:val="auto"/>
                <w:sz w:val="24"/>
                <w:highlight w:val="none"/>
              </w:rPr>
            </w:pPr>
            <w:r>
              <w:rPr>
                <w:color w:val="auto"/>
                <w:sz w:val="24"/>
                <w:highlight w:val="none"/>
              </w:rPr>
              <w:t>3、评标基准价的确定：</w:t>
            </w:r>
          </w:p>
          <w:p>
            <w:pPr>
              <w:pStyle w:val="7"/>
              <w:spacing w:line="240" w:lineRule="auto"/>
              <w:ind w:left="0" w:leftChars="0" w:firstLine="0" w:firstLineChars="0"/>
              <w:rPr>
                <w:color w:val="auto"/>
                <w:sz w:val="24"/>
                <w:highlight w:val="none"/>
              </w:rPr>
            </w:pPr>
            <w:r>
              <w:rPr>
                <w:color w:val="auto"/>
                <w:sz w:val="24"/>
                <w:highlight w:val="none"/>
              </w:rPr>
              <w:t>评标价平均值作为评标基准价。</w:t>
            </w:r>
          </w:p>
          <w:p>
            <w:pPr>
              <w:pStyle w:val="7"/>
              <w:spacing w:line="240" w:lineRule="auto"/>
              <w:ind w:left="0" w:leftChars="0" w:firstLine="0" w:firstLineChars="0"/>
              <w:rPr>
                <w:rFonts w:hint="eastAsia" w:ascii="宋体" w:hAnsi="宋体" w:eastAsia="宋体" w:cs="宋体"/>
                <w:color w:val="auto"/>
                <w:sz w:val="24"/>
                <w:szCs w:val="24"/>
                <w:highlight w:val="none"/>
              </w:rPr>
            </w:pPr>
            <w:r>
              <w:rPr>
                <w:color w:val="auto"/>
                <w:sz w:val="24"/>
                <w:highlight w:val="none"/>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pPr>
              <w:adjustRightInd w:val="0"/>
              <w:snapToGrid w:val="0"/>
              <w:jc w:val="center"/>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ascii="Times New Roman" w:hAnsi="Times New Roman" w:eastAsia="宋体" w:cs="Times New Roman"/>
                <w:color w:val="auto"/>
                <w:sz w:val="24"/>
                <w:szCs w:val="24"/>
                <w:highlight w:val="none"/>
                <w:lang w:eastAsia="zh-CN"/>
              </w:rPr>
              <w:t>3</w:t>
            </w:r>
            <w:r>
              <w:rPr>
                <w:rFonts w:ascii="Times New Roman" w:hAnsi="Times New Roman" w:eastAsia="宋体" w:cs="Times New Roman"/>
                <w:color w:val="auto"/>
                <w:sz w:val="24"/>
                <w:szCs w:val="24"/>
                <w:highlight w:val="none"/>
              </w:rPr>
              <w:t>.3</w:t>
            </w:r>
          </w:p>
        </w:tc>
        <w:tc>
          <w:tcPr>
            <w:tcW w:w="1546" w:type="dxa"/>
            <w:vAlign w:val="center"/>
          </w:tcPr>
          <w:p>
            <w:pPr>
              <w:adjustRightInd w:val="0"/>
              <w:snapToGrid w:val="0"/>
              <w:jc w:val="center"/>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lang w:eastAsia="zh-CN"/>
              </w:rPr>
              <w:t>评标价的偏差率计算公式</w:t>
            </w:r>
          </w:p>
        </w:tc>
        <w:tc>
          <w:tcPr>
            <w:tcW w:w="6968" w:type="dxa"/>
            <w:vAlign w:val="center"/>
          </w:tcPr>
          <w:p>
            <w:pPr>
              <w:adjustRightInd w:val="0"/>
              <w:snapToGrid w:val="0"/>
              <w:jc w:val="both"/>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lang w:eastAsia="zh-CN"/>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1546" w:type="dxa"/>
            <w:vAlign w:val="center"/>
          </w:tcPr>
          <w:p>
            <w:pPr>
              <w:adjustRightInd w:val="0"/>
              <w:snapToGrid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信息查询</w:t>
            </w:r>
          </w:p>
        </w:tc>
        <w:tc>
          <w:tcPr>
            <w:tcW w:w="6968" w:type="dxa"/>
            <w:vAlign w:val="center"/>
          </w:tcPr>
          <w:p>
            <w:pPr>
              <w:adjustRightInd w:val="0"/>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修改为：</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在评标过程中，评标委员会应对以下信息进行查询：</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信用情况网页截图内容与在“国家企业信用信息公示系统”中严重违法失信名单（黑名单）信息（不含分公司）或在“信用中国”网站“中失信被执行人、经营异常名录、重大税收违法失信主体、政府采购严重违法失信行为记录名单（均不含分公司）的复核结果一致。</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如投标人未提供相关网页截图或所附截图与复核结果不一致导致不能满足资格评审要求的，评标委员会应否决其投标。</w:t>
            </w:r>
          </w:p>
          <w:p>
            <w:pPr>
              <w:autoSpaceDE w:val="0"/>
              <w:autoSpaceDN w:val="0"/>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p>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投标人应保证本款所附的全部截图的真实性。</w:t>
            </w:r>
            <w:r>
              <w:rPr>
                <w:rFonts w:hint="eastAsia" w:ascii="宋体" w:hAnsi="宋体" w:eastAsia="宋体" w:cs="宋体"/>
                <w:color w:val="auto"/>
                <w:sz w:val="24"/>
                <w:szCs w:val="24"/>
                <w:highlight w:val="none"/>
                <w:lang w:eastAsia="zh-CN"/>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pPr>
        <w:autoSpaceDE w:val="0"/>
        <w:autoSpaceDN w:val="0"/>
        <w:adjustRightInd w:val="0"/>
        <w:snapToGrid w:val="0"/>
        <w:spacing w:line="360" w:lineRule="auto"/>
        <w:ind w:left="110" w:right="113"/>
        <w:rPr>
          <w:rFonts w:ascii="宋体" w:hAnsi="宋体" w:cs="宋体"/>
          <w:color w:val="auto"/>
          <w:szCs w:val="21"/>
          <w:highlight w:val="none"/>
          <w:lang w:eastAsia="zh-CN"/>
        </w:rPr>
      </w:pPr>
    </w:p>
    <w:p>
      <w:pPr>
        <w:rPr>
          <w:rFonts w:ascii="宋体" w:hAnsi="宋体" w:cs="宋体"/>
          <w:b/>
          <w:bCs/>
          <w:color w:val="auto"/>
          <w:szCs w:val="21"/>
          <w:highlight w:val="none"/>
          <w:lang w:eastAsia="zh-CN"/>
        </w:rPr>
      </w:pPr>
      <w:r>
        <w:rPr>
          <w:rFonts w:hint="eastAsia" w:ascii="宋体" w:hAnsi="宋体" w:cs="宋体"/>
          <w:b/>
          <w:bCs/>
          <w:color w:val="auto"/>
          <w:szCs w:val="21"/>
          <w:highlight w:val="none"/>
          <w:lang w:eastAsia="zh-CN"/>
        </w:rPr>
        <w:br w:type="page"/>
      </w:r>
    </w:p>
    <w:p>
      <w:pPr>
        <w:pStyle w:val="12"/>
        <w:rPr>
          <w:color w:val="auto"/>
          <w:highlight w:val="none"/>
        </w:rPr>
      </w:pPr>
      <w:r>
        <w:rPr>
          <w:rFonts w:hint="eastAsia"/>
          <w:color w:val="auto"/>
          <w:highlight w:val="none"/>
        </w:rPr>
        <w:t>评分标准</w:t>
      </w:r>
    </w:p>
    <w:p>
      <w:pPr>
        <w:pStyle w:val="12"/>
        <w:rPr>
          <w:color w:val="auto"/>
          <w:highlight w:val="none"/>
        </w:rPr>
      </w:pPr>
    </w:p>
    <w:tbl>
      <w:tblPr>
        <w:tblStyle w:val="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34"/>
        <w:gridCol w:w="1199"/>
        <w:gridCol w:w="1587"/>
        <w:gridCol w:w="3907"/>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57" w:type="dxa"/>
            <w:gridSpan w:val="2"/>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条款号</w:t>
            </w:r>
          </w:p>
        </w:tc>
        <w:tc>
          <w:tcPr>
            <w:tcW w:w="2786" w:type="dxa"/>
            <w:gridSpan w:val="2"/>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评分因素</w:t>
            </w:r>
          </w:p>
        </w:tc>
        <w:tc>
          <w:tcPr>
            <w:tcW w:w="5295" w:type="dxa"/>
            <w:gridSpan w:val="2"/>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restart"/>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技术部分</w:t>
            </w:r>
          </w:p>
        </w:tc>
        <w:tc>
          <w:tcPr>
            <w:tcW w:w="834" w:type="dxa"/>
            <w:vMerge w:val="restart"/>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2.3.4（</w:t>
            </w: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rPr>
              <w:t>）</w:t>
            </w:r>
          </w:p>
        </w:tc>
        <w:tc>
          <w:tcPr>
            <w:tcW w:w="1199" w:type="dxa"/>
            <w:vMerge w:val="restart"/>
            <w:vAlign w:val="center"/>
          </w:tcPr>
          <w:p>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服务方案评分标准</w:t>
            </w:r>
          </w:p>
          <w:p>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（60分）</w:t>
            </w:r>
          </w:p>
        </w:tc>
        <w:tc>
          <w:tcPr>
            <w:tcW w:w="1587" w:type="dxa"/>
            <w:vMerge w:val="restart"/>
            <w:vAlign w:val="center"/>
          </w:tcPr>
          <w:p>
            <w:pPr>
              <w:spacing w:line="240" w:lineRule="auto"/>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投标人综合能力评价</w:t>
            </w:r>
          </w:p>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(25分)</w:t>
            </w:r>
          </w:p>
        </w:tc>
        <w:tc>
          <w:tcPr>
            <w:tcW w:w="3907" w:type="dxa"/>
            <w:vAlign w:val="center"/>
          </w:tcPr>
          <w:p>
            <w:pPr>
              <w:spacing w:line="24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color w:val="auto"/>
                <w:spacing w:val="12"/>
                <w:sz w:val="24"/>
                <w:szCs w:val="24"/>
                <w:highlight w:val="none"/>
                <w:lang w:eastAsia="zh-CN"/>
              </w:rPr>
              <w:t>质保期限长、故障响应时间短，投标人综合能力强，能很好满足招标文件要求</w:t>
            </w:r>
          </w:p>
        </w:tc>
        <w:tc>
          <w:tcPr>
            <w:tcW w:w="1388" w:type="dxa"/>
            <w:vAlign w:val="center"/>
          </w:tcPr>
          <w:p>
            <w:pPr>
              <w:pStyle w:val="13"/>
              <w:spacing w:before="24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cs="宋体"/>
                <w:bCs/>
                <w:color w:val="auto"/>
                <w:sz w:val="24"/>
                <w:szCs w:val="24"/>
                <w:highlight w:val="none"/>
                <w:lang w:val="en-US" w:eastAsia="zh-CN"/>
              </w:rPr>
              <w:t>0</w:t>
            </w:r>
            <w:r>
              <w:rPr>
                <w:rFonts w:hint="eastAsia" w:ascii="宋体" w:hAnsi="宋体" w:eastAsia="宋体" w:cs="宋体"/>
                <w:bCs/>
                <w:color w:val="auto"/>
                <w:sz w:val="24"/>
                <w:szCs w:val="24"/>
                <w:highlight w:val="none"/>
              </w:rPr>
              <w:t>.</w:t>
            </w:r>
            <w:r>
              <w:rPr>
                <w:rFonts w:hint="eastAsia" w:cs="宋体"/>
                <w:bCs/>
                <w:color w:val="auto"/>
                <w:sz w:val="24"/>
                <w:szCs w:val="24"/>
                <w:highlight w:val="none"/>
                <w:lang w:val="en-US" w:eastAsia="zh-CN"/>
              </w:rPr>
              <w:t>0</w:t>
            </w:r>
            <w:r>
              <w:rPr>
                <w:rFonts w:hint="eastAsia" w:ascii="宋体" w:hAnsi="宋体" w:eastAsia="宋体" w:cs="宋体"/>
                <w:bCs/>
                <w:color w:val="auto"/>
                <w:sz w:val="24"/>
                <w:szCs w:val="24"/>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3907" w:type="dxa"/>
            <w:vAlign w:val="center"/>
          </w:tcPr>
          <w:p>
            <w:pPr>
              <w:spacing w:line="24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color w:val="auto"/>
                <w:spacing w:val="12"/>
                <w:sz w:val="24"/>
                <w:szCs w:val="24"/>
                <w:highlight w:val="none"/>
                <w:lang w:eastAsia="zh-CN"/>
              </w:rPr>
              <w:t>质保期限较长、故障响应时间较短，投标人综合能力较强，能较好满足招标文件要求</w:t>
            </w:r>
          </w:p>
        </w:tc>
        <w:tc>
          <w:tcPr>
            <w:tcW w:w="1388" w:type="dxa"/>
            <w:vAlign w:val="center"/>
          </w:tcPr>
          <w:p>
            <w:pPr>
              <w:pStyle w:val="13"/>
              <w:spacing w:before="24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cs="宋体"/>
                <w:bCs/>
                <w:color w:val="auto"/>
                <w:sz w:val="24"/>
                <w:szCs w:val="24"/>
                <w:highlight w:val="none"/>
                <w:lang w:val="en-US" w:eastAsia="zh-CN"/>
              </w:rPr>
              <w:t>0</w:t>
            </w:r>
            <w:r>
              <w:rPr>
                <w:rFonts w:hint="eastAsia" w:ascii="宋体" w:hAnsi="宋体" w:eastAsia="宋体" w:cs="宋体"/>
                <w:bCs/>
                <w:color w:val="auto"/>
                <w:sz w:val="24"/>
                <w:szCs w:val="24"/>
                <w:highlight w:val="none"/>
              </w:rPr>
              <w:t>-2</w:t>
            </w:r>
            <w:r>
              <w:rPr>
                <w:rFonts w:hint="eastAsia" w:cs="宋体"/>
                <w:bCs/>
                <w:color w:val="auto"/>
                <w:sz w:val="24"/>
                <w:szCs w:val="24"/>
                <w:highlight w:val="none"/>
                <w:lang w:val="en-US" w:eastAsia="zh-CN"/>
              </w:rPr>
              <w:t>0</w:t>
            </w:r>
            <w:r>
              <w:rPr>
                <w:rFonts w:hint="eastAsia" w:ascii="宋体" w:hAnsi="宋体" w:eastAsia="宋体" w:cs="宋体"/>
                <w:bCs/>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3907" w:type="dxa"/>
            <w:vAlign w:val="center"/>
          </w:tcPr>
          <w:p>
            <w:pPr>
              <w:spacing w:line="24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color w:val="auto"/>
                <w:spacing w:val="12"/>
                <w:sz w:val="24"/>
                <w:szCs w:val="24"/>
                <w:highlight w:val="none"/>
                <w:lang w:eastAsia="zh-CN"/>
              </w:rPr>
              <w:t>质保期限短、故障响应时间长，投标人综合能力一般，满足招标文件要求</w:t>
            </w:r>
          </w:p>
        </w:tc>
        <w:tc>
          <w:tcPr>
            <w:tcW w:w="1388" w:type="dxa"/>
            <w:vAlign w:val="center"/>
          </w:tcPr>
          <w:p>
            <w:pPr>
              <w:pStyle w:val="13"/>
              <w:spacing w:before="240" w:after="120"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restart"/>
            <w:vAlign w:val="center"/>
          </w:tcPr>
          <w:p>
            <w:pPr>
              <w:spacing w:line="240" w:lineRule="auto"/>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车辆主要配置及技术性能指标的响应程度评价</w:t>
            </w:r>
          </w:p>
          <w:p>
            <w:pPr>
              <w:spacing w:line="240" w:lineRule="auto"/>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bCs/>
                <w:color w:val="auto"/>
                <w:sz w:val="24"/>
                <w:szCs w:val="24"/>
                <w:highlight w:val="none"/>
                <w:lang w:eastAsia="zh-CN"/>
              </w:rPr>
              <w:t>（15分）</w:t>
            </w: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车辆功能配置齐全、实用性强、外观、内饰、工艺好，主要零部件的性能参数高</w:t>
            </w:r>
          </w:p>
        </w:tc>
        <w:tc>
          <w:tcPr>
            <w:tcW w:w="1388" w:type="dxa"/>
            <w:vAlign w:val="center"/>
          </w:tcPr>
          <w:p>
            <w:pPr>
              <w:pStyle w:val="13"/>
              <w:spacing w:before="24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cs="宋体"/>
                <w:bCs/>
                <w:color w:val="auto"/>
                <w:sz w:val="24"/>
                <w:szCs w:val="24"/>
                <w:highlight w:val="none"/>
                <w:lang w:val="en-US" w:eastAsia="zh-CN"/>
              </w:rPr>
              <w:t>2.0</w:t>
            </w:r>
            <w:r>
              <w:rPr>
                <w:rFonts w:hint="eastAsia" w:ascii="宋体" w:hAnsi="宋体" w:eastAsia="宋体" w:cs="宋体"/>
                <w:bCs/>
                <w:color w:val="auto"/>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continue"/>
            <w:vAlign w:val="center"/>
          </w:tcPr>
          <w:p>
            <w:pPr>
              <w:spacing w:line="240" w:lineRule="auto"/>
              <w:jc w:val="center"/>
              <w:rPr>
                <w:rFonts w:hint="eastAsia" w:ascii="宋体" w:hAnsi="宋体" w:eastAsia="宋体" w:cs="宋体"/>
                <w:color w:val="auto"/>
                <w:spacing w:val="12"/>
                <w:sz w:val="24"/>
                <w:szCs w:val="24"/>
                <w:highlight w:val="none"/>
                <w:lang w:eastAsia="zh-CN"/>
              </w:rPr>
            </w:pP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车辆功能配置较齐全、实用性较强、外观、内饰、工艺较好，主要零部件的性能参数较高</w:t>
            </w:r>
          </w:p>
        </w:tc>
        <w:tc>
          <w:tcPr>
            <w:tcW w:w="1388" w:type="dxa"/>
            <w:vAlign w:val="center"/>
          </w:tcPr>
          <w:p>
            <w:pPr>
              <w:pStyle w:val="13"/>
              <w:spacing w:before="240" w:after="120" w:line="240" w:lineRule="auto"/>
              <w:jc w:val="center"/>
              <w:rPr>
                <w:rFonts w:hint="eastAsia" w:ascii="宋体" w:hAnsi="宋体" w:eastAsia="宋体" w:cs="宋体"/>
                <w:bCs/>
                <w:color w:val="auto"/>
                <w:sz w:val="24"/>
                <w:szCs w:val="24"/>
                <w:highlight w:val="none"/>
              </w:rPr>
            </w:pPr>
            <w:r>
              <w:rPr>
                <w:rFonts w:hint="eastAsia" w:cs="宋体"/>
                <w:bCs/>
                <w:color w:val="auto"/>
                <w:sz w:val="24"/>
                <w:szCs w:val="24"/>
                <w:highlight w:val="none"/>
                <w:lang w:val="en-US" w:eastAsia="zh-CN"/>
              </w:rPr>
              <w:t>9</w:t>
            </w:r>
            <w:r>
              <w:rPr>
                <w:rFonts w:hint="eastAsia" w:ascii="宋体" w:hAnsi="宋体" w:eastAsia="宋体" w:cs="宋体"/>
                <w:bCs/>
                <w:color w:val="auto"/>
                <w:sz w:val="24"/>
                <w:szCs w:val="24"/>
                <w:highlight w:val="none"/>
              </w:rPr>
              <w:t>.</w:t>
            </w:r>
            <w:r>
              <w:rPr>
                <w:rFonts w:hint="eastAsia" w:cs="宋体"/>
                <w:bCs/>
                <w:color w:val="auto"/>
                <w:sz w:val="24"/>
                <w:szCs w:val="24"/>
                <w:highlight w:val="none"/>
                <w:lang w:val="en-US" w:eastAsia="zh-CN"/>
              </w:rPr>
              <w:t>0</w:t>
            </w:r>
            <w:r>
              <w:rPr>
                <w:rFonts w:hint="eastAsia" w:ascii="宋体" w:hAnsi="宋体" w:eastAsia="宋体" w:cs="宋体"/>
                <w:bCs/>
                <w:color w:val="auto"/>
                <w:sz w:val="24"/>
                <w:szCs w:val="24"/>
                <w:highlight w:val="none"/>
              </w:rPr>
              <w:t>-1</w:t>
            </w:r>
            <w:r>
              <w:rPr>
                <w:rFonts w:hint="eastAsia" w:cs="宋体"/>
                <w:bCs/>
                <w:color w:val="auto"/>
                <w:sz w:val="24"/>
                <w:szCs w:val="24"/>
                <w:highlight w:val="none"/>
                <w:lang w:val="en-US" w:eastAsia="zh-CN"/>
              </w:rPr>
              <w:t>2</w:t>
            </w:r>
            <w:r>
              <w:rPr>
                <w:rFonts w:hint="eastAsia" w:ascii="宋体" w:hAnsi="宋体" w:eastAsia="宋体" w:cs="宋体"/>
                <w:bCs/>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continue"/>
            <w:vAlign w:val="center"/>
          </w:tcPr>
          <w:p>
            <w:pPr>
              <w:spacing w:line="240" w:lineRule="auto"/>
              <w:jc w:val="center"/>
              <w:rPr>
                <w:rFonts w:hint="eastAsia" w:ascii="宋体" w:hAnsi="宋体" w:eastAsia="宋体" w:cs="宋体"/>
                <w:color w:val="auto"/>
                <w:spacing w:val="12"/>
                <w:sz w:val="24"/>
                <w:szCs w:val="24"/>
                <w:highlight w:val="none"/>
                <w:lang w:eastAsia="zh-CN"/>
              </w:rPr>
            </w:pP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车辆功能配置一般、实用性一般、外观、内饰、工艺一般，主要零部件的性能参数一般</w:t>
            </w:r>
          </w:p>
        </w:tc>
        <w:tc>
          <w:tcPr>
            <w:tcW w:w="1388" w:type="dxa"/>
            <w:vAlign w:val="center"/>
          </w:tcPr>
          <w:p>
            <w:pPr>
              <w:pStyle w:val="13"/>
              <w:spacing w:before="24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restart"/>
            <w:vAlign w:val="center"/>
          </w:tcPr>
          <w:p>
            <w:pPr>
              <w:spacing w:line="240" w:lineRule="auto"/>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交货期服务方案及服务能力评价</w:t>
            </w:r>
          </w:p>
          <w:p>
            <w:pPr>
              <w:spacing w:line="240" w:lineRule="auto"/>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(10分)</w:t>
            </w: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配送及时、安全可靠、有良好的相关配套增值服务方案</w:t>
            </w:r>
          </w:p>
        </w:tc>
        <w:tc>
          <w:tcPr>
            <w:tcW w:w="1388" w:type="dxa"/>
            <w:vAlign w:val="center"/>
          </w:tcPr>
          <w:p>
            <w:pPr>
              <w:pStyle w:val="13"/>
              <w:spacing w:before="240" w:after="120" w:line="240" w:lineRule="auto"/>
              <w:jc w:val="center"/>
              <w:rPr>
                <w:rFonts w:hint="eastAsia" w:ascii="宋体" w:hAnsi="宋体" w:eastAsia="宋体" w:cs="宋体"/>
                <w:bCs/>
                <w:color w:val="auto"/>
                <w:sz w:val="24"/>
                <w:szCs w:val="24"/>
                <w:highlight w:val="none"/>
              </w:rPr>
            </w:pPr>
            <w:r>
              <w:rPr>
                <w:rFonts w:hint="eastAsia" w:cs="宋体"/>
                <w:bCs/>
                <w:color w:val="auto"/>
                <w:sz w:val="24"/>
                <w:szCs w:val="24"/>
                <w:highlight w:val="none"/>
                <w:lang w:val="en-US" w:eastAsia="zh-CN"/>
              </w:rPr>
              <w:t>8</w:t>
            </w:r>
            <w:r>
              <w:rPr>
                <w:rFonts w:hint="eastAsia" w:ascii="宋体" w:hAnsi="宋体" w:eastAsia="宋体" w:cs="宋体"/>
                <w:bCs/>
                <w:color w:val="auto"/>
                <w:sz w:val="24"/>
                <w:szCs w:val="24"/>
                <w:highlight w:val="none"/>
              </w:rPr>
              <w:t>.</w:t>
            </w:r>
            <w:r>
              <w:rPr>
                <w:rFonts w:hint="eastAsia" w:cs="宋体"/>
                <w:bCs/>
                <w:color w:val="auto"/>
                <w:sz w:val="24"/>
                <w:szCs w:val="24"/>
                <w:highlight w:val="none"/>
                <w:lang w:val="en-US" w:eastAsia="zh-CN"/>
              </w:rPr>
              <w:t>0</w:t>
            </w:r>
            <w:r>
              <w:rPr>
                <w:rFonts w:hint="eastAsia" w:ascii="宋体" w:hAnsi="宋体" w:eastAsia="宋体" w:cs="宋体"/>
                <w:bCs/>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配送较及时、较安全可靠、有较好的相关配套增值服务方案</w:t>
            </w:r>
          </w:p>
        </w:tc>
        <w:tc>
          <w:tcPr>
            <w:tcW w:w="1388" w:type="dxa"/>
            <w:vAlign w:val="center"/>
          </w:tcPr>
          <w:p>
            <w:pPr>
              <w:pStyle w:val="13"/>
              <w:spacing w:before="240" w:after="120" w:line="240" w:lineRule="auto"/>
              <w:jc w:val="center"/>
              <w:rPr>
                <w:rFonts w:hint="eastAsia" w:ascii="宋体" w:hAnsi="宋体" w:eastAsia="宋体" w:cs="宋体"/>
                <w:bCs/>
                <w:color w:val="auto"/>
                <w:sz w:val="24"/>
                <w:szCs w:val="24"/>
                <w:highlight w:val="none"/>
              </w:rPr>
            </w:pPr>
            <w:r>
              <w:rPr>
                <w:rFonts w:hint="eastAsia" w:cs="宋体"/>
                <w:bCs/>
                <w:color w:val="auto"/>
                <w:sz w:val="24"/>
                <w:szCs w:val="24"/>
                <w:highlight w:val="none"/>
                <w:lang w:val="en-US" w:eastAsia="zh-CN"/>
              </w:rPr>
              <w:t>6.0</w:t>
            </w:r>
            <w:r>
              <w:rPr>
                <w:rFonts w:hint="eastAsia" w:ascii="宋体" w:hAnsi="宋体" w:eastAsia="宋体" w:cs="宋体"/>
                <w:bCs/>
                <w:color w:val="auto"/>
                <w:sz w:val="24"/>
                <w:szCs w:val="24"/>
                <w:highlight w:val="none"/>
              </w:rPr>
              <w:t>-</w:t>
            </w:r>
            <w:r>
              <w:rPr>
                <w:rFonts w:hint="eastAsia" w:cs="宋体"/>
                <w:bCs/>
                <w:color w:val="auto"/>
                <w:sz w:val="24"/>
                <w:szCs w:val="24"/>
                <w:highlight w:val="none"/>
                <w:lang w:val="en-US" w:eastAsia="zh-CN"/>
              </w:rPr>
              <w:t>8</w:t>
            </w:r>
            <w:r>
              <w:rPr>
                <w:rFonts w:hint="eastAsia" w:ascii="宋体" w:hAnsi="宋体" w:eastAsia="宋体" w:cs="宋体"/>
                <w:bCs/>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配送时效性一般、安全可靠性一般、相关配套增值服务方案一般</w:t>
            </w:r>
          </w:p>
        </w:tc>
        <w:tc>
          <w:tcPr>
            <w:tcW w:w="1388" w:type="dxa"/>
            <w:vAlign w:val="center"/>
          </w:tcPr>
          <w:p>
            <w:pPr>
              <w:pStyle w:val="13"/>
              <w:spacing w:before="24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restart"/>
            <w:vAlign w:val="center"/>
          </w:tcPr>
          <w:p>
            <w:pPr>
              <w:wordWrap w:val="0"/>
              <w:adjustRightInd w:val="0"/>
              <w:snapToGrid w:val="0"/>
              <w:spacing w:line="240" w:lineRule="auto"/>
              <w:jc w:val="center"/>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技术服务和质保期服务能力的评价</w:t>
            </w:r>
          </w:p>
          <w:p>
            <w:pPr>
              <w:wordWrap w:val="0"/>
              <w:adjustRightInd w:val="0"/>
              <w:snapToGrid w:val="0"/>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(10分)</w:t>
            </w: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技术服务能力、维保能力强，优惠政策好、有良好的保养检测等售后服务</w:t>
            </w:r>
          </w:p>
        </w:tc>
        <w:tc>
          <w:tcPr>
            <w:tcW w:w="1388" w:type="dxa"/>
            <w:vAlign w:val="center"/>
          </w:tcPr>
          <w:p>
            <w:pPr>
              <w:pStyle w:val="13"/>
              <w:spacing w:before="240" w:after="120" w:line="240" w:lineRule="auto"/>
              <w:jc w:val="center"/>
              <w:rPr>
                <w:rFonts w:hint="eastAsia" w:ascii="宋体" w:hAnsi="宋体" w:eastAsia="宋体" w:cs="宋体"/>
                <w:bCs/>
                <w:color w:val="auto"/>
                <w:sz w:val="24"/>
                <w:szCs w:val="24"/>
                <w:highlight w:val="none"/>
              </w:rPr>
            </w:pPr>
            <w:r>
              <w:rPr>
                <w:rFonts w:hint="eastAsia" w:cs="宋体"/>
                <w:bCs/>
                <w:color w:val="auto"/>
                <w:sz w:val="24"/>
                <w:szCs w:val="24"/>
                <w:highlight w:val="none"/>
                <w:lang w:val="en-US" w:eastAsia="zh-CN"/>
              </w:rPr>
              <w:t>8</w:t>
            </w:r>
            <w:r>
              <w:rPr>
                <w:rFonts w:hint="eastAsia" w:ascii="宋体" w:hAnsi="宋体" w:eastAsia="宋体" w:cs="宋体"/>
                <w:bCs/>
                <w:color w:val="auto"/>
                <w:sz w:val="24"/>
                <w:szCs w:val="24"/>
                <w:highlight w:val="none"/>
              </w:rPr>
              <w:t>.</w:t>
            </w:r>
            <w:r>
              <w:rPr>
                <w:rFonts w:hint="eastAsia" w:cs="宋体"/>
                <w:bCs/>
                <w:color w:val="auto"/>
                <w:sz w:val="24"/>
                <w:szCs w:val="24"/>
                <w:highlight w:val="none"/>
                <w:lang w:val="en-US" w:eastAsia="zh-CN"/>
              </w:rPr>
              <w:t>0</w:t>
            </w:r>
            <w:r>
              <w:rPr>
                <w:rFonts w:hint="eastAsia" w:ascii="宋体" w:hAnsi="宋体" w:eastAsia="宋体" w:cs="宋体"/>
                <w:bCs/>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技术服务能力、维保能力较强，优惠政策较好、有较好的保养检测等售后服务</w:t>
            </w:r>
          </w:p>
        </w:tc>
        <w:tc>
          <w:tcPr>
            <w:tcW w:w="1388" w:type="dxa"/>
            <w:vAlign w:val="center"/>
          </w:tcPr>
          <w:p>
            <w:pPr>
              <w:pStyle w:val="13"/>
              <w:spacing w:before="240" w:after="120" w:line="240" w:lineRule="auto"/>
              <w:jc w:val="center"/>
              <w:rPr>
                <w:rFonts w:hint="eastAsia" w:ascii="宋体" w:hAnsi="宋体" w:eastAsia="宋体" w:cs="宋体"/>
                <w:bCs/>
                <w:color w:val="auto"/>
                <w:sz w:val="24"/>
                <w:szCs w:val="24"/>
                <w:highlight w:val="none"/>
              </w:rPr>
            </w:pPr>
            <w:r>
              <w:rPr>
                <w:rFonts w:hint="eastAsia" w:cs="宋体"/>
                <w:bCs/>
                <w:color w:val="auto"/>
                <w:sz w:val="24"/>
                <w:szCs w:val="24"/>
                <w:highlight w:val="none"/>
                <w:lang w:val="en-US" w:eastAsia="zh-CN"/>
              </w:rPr>
              <w:t>6.0</w:t>
            </w:r>
            <w:r>
              <w:rPr>
                <w:rFonts w:hint="eastAsia" w:ascii="宋体" w:hAnsi="宋体" w:eastAsia="宋体" w:cs="宋体"/>
                <w:bCs/>
                <w:color w:val="auto"/>
                <w:sz w:val="24"/>
                <w:szCs w:val="24"/>
                <w:highlight w:val="none"/>
              </w:rPr>
              <w:t>-</w:t>
            </w:r>
            <w:r>
              <w:rPr>
                <w:rFonts w:hint="eastAsia" w:cs="宋体"/>
                <w:bCs/>
                <w:color w:val="auto"/>
                <w:sz w:val="24"/>
                <w:szCs w:val="24"/>
                <w:highlight w:val="none"/>
                <w:lang w:val="en-US" w:eastAsia="zh-CN"/>
              </w:rPr>
              <w:t>8</w:t>
            </w:r>
            <w:r>
              <w:rPr>
                <w:rFonts w:hint="eastAsia" w:ascii="宋体" w:hAnsi="宋体" w:eastAsia="宋体" w:cs="宋体"/>
                <w:bCs/>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834"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199"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1587" w:type="dxa"/>
            <w:vMerge w:val="continue"/>
            <w:vAlign w:val="center"/>
          </w:tcPr>
          <w:p>
            <w:pPr>
              <w:spacing w:line="240" w:lineRule="auto"/>
              <w:jc w:val="center"/>
              <w:rPr>
                <w:rFonts w:hint="eastAsia" w:ascii="宋体" w:hAnsi="宋体" w:eastAsia="宋体" w:cs="宋体"/>
                <w:bCs/>
                <w:color w:val="auto"/>
                <w:sz w:val="24"/>
                <w:szCs w:val="24"/>
                <w:highlight w:val="none"/>
              </w:rPr>
            </w:pPr>
          </w:p>
        </w:tc>
        <w:tc>
          <w:tcPr>
            <w:tcW w:w="3907" w:type="dxa"/>
            <w:vAlign w:val="center"/>
          </w:tcPr>
          <w:p>
            <w:pPr>
              <w:spacing w:line="240" w:lineRule="auto"/>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技术服务能力、维保能力一般，优惠政策一般、保养检测等售后服务一般</w:t>
            </w:r>
          </w:p>
        </w:tc>
        <w:tc>
          <w:tcPr>
            <w:tcW w:w="1388" w:type="dxa"/>
            <w:vAlign w:val="center"/>
          </w:tcPr>
          <w:p>
            <w:pPr>
              <w:pStyle w:val="13"/>
              <w:spacing w:before="240" w:after="120"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23" w:type="dxa"/>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w:t>
            </w:r>
          </w:p>
        </w:tc>
        <w:tc>
          <w:tcPr>
            <w:tcW w:w="2033" w:type="dxa"/>
            <w:gridSpan w:val="2"/>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2.3.4（</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rPr>
              <w:t>）</w:t>
            </w:r>
          </w:p>
        </w:tc>
        <w:tc>
          <w:tcPr>
            <w:tcW w:w="1587" w:type="dxa"/>
            <w:vAlign w:val="center"/>
          </w:tcPr>
          <w:p>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评标报价</w:t>
            </w:r>
          </w:p>
          <w:p>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评分标准</w:t>
            </w:r>
          </w:p>
          <w:p>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（40分）</w:t>
            </w:r>
          </w:p>
        </w:tc>
        <w:tc>
          <w:tcPr>
            <w:tcW w:w="5295" w:type="dxa"/>
            <w:gridSpan w:val="2"/>
            <w:vAlign w:val="center"/>
          </w:tcPr>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lang w:eastAsia="zh-CN"/>
              </w:rPr>
              <w:t>报价得分计算公式：</w:t>
            </w:r>
          </w:p>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(1)如果投标人的有效投标报价＞评标基准价，则投标报价得分=40-偏差率×100×E1；</w:t>
            </w:r>
          </w:p>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(2)如果投标人的有效投标报价≤评标基准价，则投标报价得分=40+偏差率×100×E2。</w:t>
            </w:r>
          </w:p>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其中：</w:t>
            </w:r>
          </w:p>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E1是有效投标报价每高于评标基准价一个百分点的扣分值，E1＝0.2；</w:t>
            </w:r>
          </w:p>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E2是有效投标报价每低于评标基准价一个百分点的扣分值，E2＝0.1。</w:t>
            </w:r>
          </w:p>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投标价最低得分为0分。投标报价得分保留小数点后两位，小数点后第三位“四舍五入”。</w:t>
            </w:r>
          </w:p>
        </w:tc>
      </w:tr>
    </w:tbl>
    <w:p>
      <w:pPr>
        <w:adjustRightInd w:val="0"/>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注：1、评审因素得分应以评标委员会各成员的打分平均值确定；</w:t>
      </w:r>
    </w:p>
    <w:p>
      <w:pPr>
        <w:adjustRightInd w:val="0"/>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2、服务方案各评分因素细分项的细分项缺项则该项得0分；</w:t>
      </w:r>
    </w:p>
    <w:p>
      <w:pPr>
        <w:adjustRightInd w:val="0"/>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3、服务方案评分时保留1位小数，评标价得分计算时保留两位小数。</w:t>
      </w:r>
    </w:p>
    <w:p>
      <w:pPr>
        <w:widowControl/>
        <w:rPr>
          <w:rFonts w:ascii="宋体" w:hAnsi="宋体"/>
          <w:color w:val="auto"/>
          <w:sz w:val="24"/>
          <w:highlight w:val="none"/>
          <w:lang w:eastAsia="zh-CN"/>
        </w:rPr>
      </w:pPr>
      <w:r>
        <w:rPr>
          <w:rFonts w:ascii="宋体" w:hAnsi="宋体"/>
          <w:color w:val="auto"/>
          <w:sz w:val="24"/>
          <w:highlight w:val="none"/>
          <w:lang w:eastAsia="zh-CN"/>
        </w:rPr>
        <w:br w:type="page"/>
      </w:r>
    </w:p>
    <w:p>
      <w:pPr>
        <w:pStyle w:val="2"/>
        <w:ind w:left="110" w:firstLine="0"/>
        <w:rPr>
          <w:rFonts w:ascii="宋体" w:hAnsi="宋体" w:cs="宋体"/>
          <w:color w:val="auto"/>
          <w:highlight w:val="none"/>
        </w:rPr>
      </w:pPr>
      <w:r>
        <w:rPr>
          <w:rFonts w:hint="eastAsia" w:ascii="宋体" w:hAnsi="宋体" w:cs="宋体"/>
          <w:color w:val="auto"/>
          <w:highlight w:val="none"/>
        </w:rPr>
        <w:t>附件3：招标内容表</w:t>
      </w:r>
    </w:p>
    <w:tbl>
      <w:tblPr>
        <w:tblStyle w:val="8"/>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086"/>
        <w:gridCol w:w="2014"/>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tcBorders>
              <w:top w:val="single" w:color="auto" w:sz="4" w:space="0"/>
              <w:left w:val="single" w:color="auto" w:sz="4" w:space="0"/>
              <w:right w:val="single" w:color="auto" w:sz="4" w:space="0"/>
            </w:tcBorders>
            <w:vAlign w:val="center"/>
          </w:tcPr>
          <w:p>
            <w:pPr>
              <w:jc w:val="center"/>
              <w:rPr>
                <w:rFonts w:ascii="宋体" w:hAnsi="宋体" w:eastAsia="宋体" w:cs="宋体"/>
                <w:b/>
                <w:bCs/>
                <w:color w:val="auto"/>
                <w:sz w:val="24"/>
                <w:szCs w:val="24"/>
                <w:highlight w:val="none"/>
              </w:rPr>
            </w:pPr>
            <w:bookmarkStart w:id="4" w:name="_Hlk169708837"/>
            <w:r>
              <w:rPr>
                <w:rFonts w:hint="eastAsia" w:ascii="宋体" w:hAnsi="宋体" w:eastAsia="宋体" w:cs="宋体"/>
                <w:b/>
                <w:bCs/>
                <w:color w:val="auto"/>
                <w:sz w:val="24"/>
                <w:szCs w:val="24"/>
                <w:highlight w:val="none"/>
                <w:lang w:eastAsia="zh-CN"/>
              </w:rPr>
              <w:br w:type="page"/>
            </w:r>
            <w:r>
              <w:rPr>
                <w:rFonts w:hint="eastAsia" w:ascii="宋体" w:hAnsi="宋体" w:eastAsia="宋体" w:cs="宋体"/>
                <w:b/>
                <w:bCs/>
                <w:color w:val="auto"/>
                <w:sz w:val="24"/>
                <w:szCs w:val="24"/>
                <w:highlight w:val="none"/>
              </w:rPr>
              <w:t>标段</w:t>
            </w:r>
          </w:p>
        </w:tc>
        <w:tc>
          <w:tcPr>
            <w:tcW w:w="1086" w:type="dxa"/>
            <w:tcBorders>
              <w:top w:val="single" w:color="auto" w:sz="4" w:space="0"/>
              <w:left w:val="single" w:color="auto" w:sz="4" w:space="0"/>
              <w:right w:val="single" w:color="auto" w:sz="4" w:space="0"/>
            </w:tcBorders>
            <w:vAlign w:val="center"/>
          </w:tcPr>
          <w:p>
            <w:pPr>
              <w:jc w:val="cente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车辆</w:t>
            </w:r>
          </w:p>
          <w:p>
            <w:pPr>
              <w:jc w:val="cente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类别</w:t>
            </w:r>
          </w:p>
        </w:tc>
        <w:tc>
          <w:tcPr>
            <w:tcW w:w="2014" w:type="dxa"/>
            <w:tcBorders>
              <w:top w:val="single" w:color="auto" w:sz="4" w:space="0"/>
              <w:left w:val="single" w:color="auto" w:sz="4" w:space="0"/>
              <w:right w:val="single" w:color="auto" w:sz="4" w:space="0"/>
            </w:tcBorders>
            <w:vAlign w:val="center"/>
          </w:tcPr>
          <w:p>
            <w:pPr>
              <w:jc w:val="center"/>
              <w:rPr>
                <w:rFonts w:ascii="宋体" w:hAnsi="宋体" w:eastAsia="宋体" w:cs="Times New Roman"/>
                <w:b/>
                <w:bCs/>
                <w:color w:val="auto"/>
                <w:kern w:val="2"/>
                <w:sz w:val="24"/>
                <w:szCs w:val="32"/>
                <w:highlight w:val="none"/>
                <w:lang w:val="en-US" w:eastAsia="zh-CN" w:bidi="ar-SA"/>
              </w:rPr>
            </w:pPr>
            <w:r>
              <w:rPr>
                <w:rFonts w:hint="eastAsia" w:ascii="宋体" w:hAnsi="宋体" w:eastAsia="宋体" w:cs="宋体"/>
                <w:b/>
                <w:bCs/>
                <w:color w:val="auto"/>
                <w:sz w:val="24"/>
                <w:szCs w:val="24"/>
                <w:highlight w:val="none"/>
                <w:lang w:val="en-US" w:eastAsia="zh-CN"/>
              </w:rPr>
              <w:t>采购内容及数量</w:t>
            </w:r>
          </w:p>
        </w:tc>
        <w:tc>
          <w:tcPr>
            <w:tcW w:w="5202" w:type="dxa"/>
            <w:tcBorders>
              <w:top w:val="single" w:color="auto" w:sz="4" w:space="0"/>
              <w:left w:val="single" w:color="auto" w:sz="4" w:space="0"/>
              <w:right w:val="single" w:color="auto" w:sz="4" w:space="0"/>
            </w:tcBorders>
            <w:vAlign w:val="center"/>
          </w:tcPr>
          <w:p>
            <w:pPr>
              <w:jc w:val="center"/>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车辆主要参数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 w:type="dxa"/>
            <w:tcBorders>
              <w:left w:val="single" w:color="auto" w:sz="4" w:space="0"/>
              <w:right w:val="single" w:color="auto" w:sz="4" w:space="0"/>
            </w:tcBorders>
            <w:vAlign w:val="center"/>
          </w:tcPr>
          <w:p>
            <w:pPr>
              <w:autoSpaceDE w:val="0"/>
              <w:autoSpaceDN w:val="0"/>
              <w:adjustRightInd w:val="0"/>
              <w:jc w:val="center"/>
              <w:rPr>
                <w:rFonts w:ascii="宋体" w:hAnsi="宋体" w:eastAsia="宋体" w:cs="宋体"/>
                <w:color w:val="auto"/>
                <w:sz w:val="24"/>
                <w:szCs w:val="24"/>
                <w:highlight w:val="none"/>
                <w:lang w:eastAsia="zh-CN"/>
              </w:rPr>
            </w:pPr>
            <w:r>
              <w:rPr>
                <w:rFonts w:ascii="宋体" w:hAnsi="宋体" w:eastAsia="宋体" w:cs="Times New Roman"/>
                <w:color w:val="auto"/>
                <w:sz w:val="24"/>
                <w:szCs w:val="24"/>
                <w:highlight w:val="none"/>
                <w:lang w:eastAsia="zh-CN"/>
              </w:rPr>
              <w:t>标段</w:t>
            </w:r>
            <w:r>
              <w:rPr>
                <w:rFonts w:hint="eastAsia" w:ascii="宋体" w:hAnsi="宋体" w:eastAsia="宋体" w:cs="Times New Roman"/>
                <w:color w:val="auto"/>
                <w:sz w:val="24"/>
                <w:szCs w:val="24"/>
                <w:highlight w:val="none"/>
                <w:lang w:eastAsia="zh-CN"/>
              </w:rPr>
              <w:t>3</w:t>
            </w:r>
          </w:p>
        </w:tc>
        <w:tc>
          <w:tcPr>
            <w:tcW w:w="1086" w:type="dxa"/>
            <w:tcBorders>
              <w:left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商务车</w:t>
            </w:r>
          </w:p>
        </w:tc>
        <w:tc>
          <w:tcPr>
            <w:tcW w:w="2014" w:type="dxa"/>
            <w:tcBorders>
              <w:left w:val="single" w:color="auto" w:sz="4" w:space="0"/>
              <w:right w:val="single" w:color="auto" w:sz="4" w:space="0"/>
            </w:tcBorders>
            <w:vAlign w:val="center"/>
          </w:tcPr>
          <w:p>
            <w:pPr>
              <w:autoSpaceDE w:val="0"/>
              <w:autoSpaceDN w:val="0"/>
              <w:adjustRightInd w:val="0"/>
              <w:jc w:val="both"/>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共</w:t>
            </w:r>
            <w:r>
              <w:rPr>
                <w:rFonts w:hint="eastAsia" w:ascii="Times New Roman" w:hAnsi="Times New Roman" w:eastAsia="宋体" w:cs="Times New Roman"/>
                <w:color w:val="auto"/>
                <w:sz w:val="24"/>
                <w:szCs w:val="24"/>
                <w:highlight w:val="none"/>
                <w:lang w:val="en-US" w:eastAsia="zh-CN"/>
              </w:rPr>
              <w:t>3辆，其中：</w:t>
            </w:r>
          </w:p>
          <w:p>
            <w:pPr>
              <w:autoSpaceDE w:val="0"/>
              <w:autoSpaceDN w:val="0"/>
              <w:adjustRightInd w:val="0"/>
              <w:jc w:val="both"/>
              <w:rPr>
                <w:rFonts w:hint="default"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eastAsia="zh-CN"/>
              </w:rPr>
              <w:t>商务车</w:t>
            </w:r>
            <w:r>
              <w:rPr>
                <w:rFonts w:hint="eastAsia" w:ascii="Times New Roman" w:hAnsi="Times New Roman" w:eastAsia="宋体" w:cs="Times New Roman"/>
                <w:color w:val="auto"/>
                <w:sz w:val="24"/>
                <w:szCs w:val="24"/>
                <w:highlight w:val="none"/>
                <w:lang w:val="en-US" w:eastAsia="zh-CN"/>
              </w:rPr>
              <w:t>3辆</w:t>
            </w:r>
          </w:p>
        </w:tc>
        <w:tc>
          <w:tcPr>
            <w:tcW w:w="5202" w:type="dxa"/>
            <w:tcBorders>
              <w:left w:val="single" w:color="auto" w:sz="4" w:space="0"/>
              <w:bottom w:val="single" w:color="auto" w:sz="4" w:space="0"/>
              <w:right w:val="single" w:color="auto" w:sz="4" w:space="0"/>
            </w:tcBorders>
            <w:vAlign w:val="center"/>
          </w:tcPr>
          <w:p>
            <w:pPr>
              <w:widowControl/>
              <w:spacing w:line="300" w:lineRule="exact"/>
              <w:jc w:val="both"/>
              <w:textAlignment w:val="center"/>
              <w:rPr>
                <w:rFonts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商务车：</w:t>
            </w:r>
          </w:p>
          <w:p>
            <w:pPr>
              <w:widowControl/>
              <w:spacing w:line="300" w:lineRule="exact"/>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eastAsia="zh-CN" w:bidi="ar"/>
              </w:rPr>
              <w:t>外观尺寸：长度≥5200 毫米，宽度≥1800 毫米，高度≥1800 毫米。轴距≥3000 毫米。</w:t>
            </w:r>
          </w:p>
          <w:p>
            <w:pPr>
              <w:widowControl/>
              <w:spacing w:line="300" w:lineRule="exact"/>
              <w:textAlignment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排量、功率：2.0L 涡轮发动机轻混系统，9 档或以上变速箱，发动机额定功率≥170KW，最大扭矩≥350N.m。</w:t>
            </w:r>
          </w:p>
          <w:p>
            <w:pPr>
              <w:keepNext w:val="0"/>
              <w:keepLines w:val="0"/>
              <w:pageBreakBefore w:val="0"/>
              <w:widowControl/>
              <w:kinsoku/>
              <w:wordWrap/>
              <w:overflowPunct/>
              <w:topLinePunct w:val="0"/>
              <w:autoSpaceDE/>
              <w:autoSpaceDN/>
              <w:bidi w:val="0"/>
              <w:adjustRightInd/>
              <w:snapToGrid/>
              <w:spacing w:line="240" w:lineRule="auto"/>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悬架形式：前悬架麦弗逊式独立悬架，后悬架扭力梁式非独立悬架。</w:t>
            </w:r>
          </w:p>
          <w:p>
            <w:pPr>
              <w:keepNext w:val="0"/>
              <w:keepLines w:val="0"/>
              <w:pageBreakBefore w:val="0"/>
              <w:widowControl/>
              <w:kinsoku/>
              <w:wordWrap/>
              <w:overflowPunct/>
              <w:topLinePunct w:val="0"/>
              <w:autoSpaceDE/>
              <w:autoSpaceDN/>
              <w:bidi w:val="0"/>
              <w:adjustRightInd/>
              <w:snapToGrid/>
              <w:spacing w:line="240" w:lineRule="auto"/>
              <w:textAlignment w:val="center"/>
              <w:rPr>
                <w:rFonts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制动方式：前制动通风盘式，后制动盘式。</w:t>
            </w:r>
          </w:p>
          <w:p>
            <w:pPr>
              <w:widowControl/>
              <w:spacing w:line="300" w:lineRule="exact"/>
              <w:textAlignment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其他配置：LED 灯光，电子驻车，胎压显示，发动机启停技术，48V 轻混技术，遥控钥匙，上坡辅助，电动调节外后视镜。</w:t>
            </w:r>
          </w:p>
        </w:tc>
      </w:tr>
      <w:bookmarkEnd w:id="4"/>
    </w:tbl>
    <w:p>
      <w:pPr>
        <w:adjustRightInd w:val="0"/>
        <w:spacing w:line="400" w:lineRule="exact"/>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entury">
    <w:altName w:val="Nyala"/>
    <w:panose1 w:val="02040604050505020304"/>
    <w:charset w:val="00"/>
    <w:family w:val="roman"/>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71C7B"/>
    <w:multiLevelType w:val="singleLevel"/>
    <w:tmpl w:val="30271C7B"/>
    <w:lvl w:ilvl="0" w:tentative="0">
      <w:start w:val="1"/>
      <w:numFmt w:val="decimal"/>
      <w:pStyle w:val="6"/>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430F3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4"/>
    <w:basedOn w:val="1"/>
    <w:next w:val="1"/>
    <w:qFormat/>
    <w:uiPriority w:val="0"/>
    <w:pPr>
      <w:keepNext/>
      <w:keepLines/>
      <w:spacing w:before="280" w:after="290" w:line="376" w:lineRule="auto"/>
      <w:ind w:left="864" w:hanging="144"/>
      <w:jc w:val="both"/>
      <w:outlineLvl w:val="3"/>
    </w:pPr>
    <w:rPr>
      <w:rFonts w:ascii="Calibri Light" w:hAnsi="Calibri Light" w:eastAsia="宋体" w:cs="黑体"/>
      <w:b/>
      <w:bCs/>
      <w:kern w:val="2"/>
      <w:sz w:val="28"/>
      <w:szCs w:val="28"/>
      <w:lang w:eastAsia="zh-CN"/>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ind w:left="100"/>
    </w:pPr>
    <w:rPr>
      <w:rFonts w:ascii="宋体" w:hAnsi="宋体" w:eastAsia="宋体"/>
      <w:sz w:val="21"/>
      <w:szCs w:val="21"/>
    </w:rPr>
  </w:style>
  <w:style w:type="paragraph" w:styleId="4">
    <w:name w:val="Body Text Indent"/>
    <w:basedOn w:val="1"/>
    <w:unhideWhenUsed/>
    <w:qFormat/>
    <w:uiPriority w:val="99"/>
    <w:pPr>
      <w:spacing w:after="120"/>
      <w:ind w:left="420" w:leftChars="200"/>
    </w:pPr>
  </w:style>
  <w:style w:type="paragraph" w:styleId="5">
    <w:name w:val="Plain Text"/>
    <w:basedOn w:val="1"/>
    <w:next w:val="6"/>
    <w:qFormat/>
    <w:uiPriority w:val="0"/>
    <w:pPr>
      <w:spacing w:before="120" w:line="360" w:lineRule="auto"/>
      <w:jc w:val="both"/>
    </w:pPr>
    <w:rPr>
      <w:rFonts w:ascii="宋体" w:hAnsi="Courier New" w:eastAsia="宋体" w:cs="Century"/>
      <w:kern w:val="2"/>
      <w:sz w:val="21"/>
      <w:szCs w:val="21"/>
      <w:lang w:eastAsia="zh-CN"/>
    </w:rPr>
  </w:style>
  <w:style w:type="paragraph" w:styleId="6">
    <w:name w:val="List Number 5"/>
    <w:basedOn w:val="1"/>
    <w:uiPriority w:val="0"/>
    <w:pPr>
      <w:numPr>
        <w:ilvl w:val="0"/>
        <w:numId w:val="1"/>
      </w:numPr>
    </w:pPr>
  </w:style>
  <w:style w:type="paragraph" w:styleId="7">
    <w:name w:val="Body Text First Indent 2"/>
    <w:basedOn w:val="4"/>
    <w:next w:val="5"/>
    <w:qFormat/>
    <w:uiPriority w:val="0"/>
    <w:pPr>
      <w:spacing w:after="0" w:line="360" w:lineRule="auto"/>
      <w:ind w:left="0" w:leftChars="0"/>
      <w:jc w:val="both"/>
    </w:pPr>
    <w:rPr>
      <w:rFonts w:ascii="宋体" w:hAnsi="宋体" w:eastAsia="宋体" w:cs="Times New Roman"/>
      <w:kern w:val="2"/>
      <w:sz w:val="24"/>
      <w:szCs w:val="32"/>
      <w:lang w:eastAsia="zh-CN"/>
    </w:rPr>
  </w:style>
  <w:style w:type="paragraph" w:customStyle="1" w:styleId="10">
    <w:name w:val="标题 31"/>
    <w:basedOn w:val="1"/>
    <w:autoRedefine/>
    <w:qFormat/>
    <w:uiPriority w:val="1"/>
    <w:pPr>
      <w:tabs>
        <w:tab w:val="left" w:pos="8789"/>
      </w:tabs>
      <w:spacing w:line="443" w:lineRule="exact"/>
      <w:ind w:firstLine="2"/>
      <w:jc w:val="center"/>
      <w:outlineLvl w:val="1"/>
    </w:pPr>
    <w:rPr>
      <w:rFonts w:asciiTheme="minorEastAsia" w:hAnsiTheme="minorEastAsia"/>
      <w:b/>
      <w:bCs/>
      <w:spacing w:val="2"/>
      <w:sz w:val="28"/>
      <w:szCs w:val="28"/>
      <w:lang w:eastAsia="zh-CN"/>
    </w:rPr>
  </w:style>
  <w:style w:type="paragraph" w:styleId="11">
    <w:name w:val="List Paragraph"/>
    <w:basedOn w:val="1"/>
    <w:autoRedefine/>
    <w:qFormat/>
    <w:uiPriority w:val="34"/>
    <w:pPr>
      <w:adjustRightInd w:val="0"/>
      <w:snapToGrid w:val="0"/>
      <w:spacing w:line="360" w:lineRule="auto"/>
      <w:jc w:val="center"/>
    </w:pPr>
    <w:rPr>
      <w:rFonts w:asciiTheme="minorEastAsia" w:hAnsiTheme="minorEastAsia"/>
      <w:b/>
      <w:sz w:val="24"/>
      <w:szCs w:val="24"/>
      <w:shd w:val="clear" w:color="auto" w:fill="FFFFFF" w:themeFill="background1"/>
      <w:lang w:eastAsia="zh-CN"/>
    </w:rPr>
  </w:style>
  <w:style w:type="paragraph" w:customStyle="1" w:styleId="12">
    <w:name w:val="目录1"/>
    <w:basedOn w:val="1"/>
    <w:autoRedefine/>
    <w:qFormat/>
    <w:uiPriority w:val="99"/>
    <w:pPr>
      <w:adjustRightInd w:val="0"/>
      <w:spacing w:line="420" w:lineRule="atLeast"/>
      <w:textAlignment w:val="baseline"/>
      <w:outlineLvl w:val="0"/>
    </w:pPr>
    <w:rPr>
      <w:rFonts w:ascii="宋体" w:hAnsi="宋体" w:eastAsia="宋体" w:cs="宋体"/>
      <w:b/>
      <w:bCs/>
      <w:sz w:val="28"/>
      <w:szCs w:val="28"/>
      <w:lang w:eastAsia="zh-CN"/>
    </w:rPr>
  </w:style>
  <w:style w:type="paragraph" w:styleId="13">
    <w:name w:val="No Spacing"/>
    <w:autoRedefine/>
    <w:qFormat/>
    <w:uiPriority w:val="0"/>
    <w:pPr>
      <w:widowControl w:val="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2024-07-30T00:40:25Z</dcterms:created>
  <dc:creator>Administrator</dc:creator>
  <cp:lastModifiedBy>李娜</cp:lastModifiedBy>
  <dcterms:modified xsi:type="dcterms:W3CDTF">2024-07-30T00:40:38Z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12121C68059F445093140F5CB9ABCB0C_12</vt:lpwstr>
  </property>
</Properties>
</file>