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textAlignment w:val="baseline"/>
        <w:rPr>
          <w:rFonts w:ascii="Times New Roman" w:hAnsi="Times New Roman"/>
        </w:rPr>
      </w:pPr>
      <w:bookmarkStart w:id="7" w:name="_GoBack"/>
      <w:bookmarkEnd w:id="7"/>
      <w:bookmarkStart w:id="0" w:name="_Toc134896103"/>
      <w:r>
        <w:rPr>
          <w:rFonts w:ascii="Times New Roman" w:hAnsi="Times New Roman"/>
          <w:b/>
          <w:bCs/>
          <w:sz w:val="24"/>
          <w:szCs w:val="24"/>
        </w:rPr>
        <w:t>附件1：资格审查条件</w:t>
      </w:r>
      <w:bookmarkEnd w:id="0"/>
    </w:p>
    <w:p>
      <w:pPr>
        <w:rPr>
          <w:rFonts w:ascii="Times New Roman" w:hAnsi="Times New Roman"/>
          <w:sz w:val="24"/>
          <w:szCs w:val="24"/>
        </w:rPr>
      </w:pPr>
    </w:p>
    <w:p>
      <w:pPr>
        <w:rPr>
          <w:rFonts w:ascii="Times New Roman" w:hAnsi="Times New Roman"/>
          <w:sz w:val="24"/>
          <w:szCs w:val="24"/>
        </w:rPr>
      </w:pPr>
    </w:p>
    <w:p>
      <w:pPr>
        <w:adjustRightInd w:val="0"/>
        <w:snapToGrid w:val="0"/>
        <w:spacing w:line="276" w:lineRule="auto"/>
        <w:jc w:val="center"/>
        <w:rPr>
          <w:rFonts w:ascii="Times New Roman" w:hAnsi="Times New Roman"/>
          <w:snapToGrid w:val="0"/>
          <w:kern w:val="0"/>
          <w:sz w:val="24"/>
        </w:rPr>
      </w:pPr>
      <w:r>
        <w:rPr>
          <w:rFonts w:ascii="Times New Roman" w:hAnsi="Times New Roman"/>
          <w:snapToGrid w:val="0"/>
          <w:kern w:val="0"/>
          <w:sz w:val="24"/>
        </w:rPr>
        <w:t>附录1  资格审查条件（资质最低要求）</w:t>
      </w:r>
    </w:p>
    <w:tbl>
      <w:tblPr>
        <w:tblStyle w:val="5"/>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3"/>
              <w:adjustRightInd w:val="0"/>
              <w:snapToGrid w:val="0"/>
              <w:spacing w:line="276" w:lineRule="auto"/>
              <w:jc w:val="left"/>
              <w:rPr>
                <w:rStyle w:val="11"/>
                <w:rFonts w:ascii="Times New Roman" w:hAnsi="Times New Roman"/>
                <w:bCs w:val="0"/>
                <w:snapToGrid w:val="0"/>
                <w:color w:val="auto"/>
                <w:sz w:val="24"/>
                <w:szCs w:val="24"/>
              </w:rPr>
            </w:pPr>
            <w:r>
              <w:rPr>
                <w:rStyle w:val="11"/>
                <w:rFonts w:ascii="Times New Roman" w:hAnsi="Times New Roman"/>
                <w:bCs w:val="0"/>
                <w:snapToGrid w:val="0"/>
                <w:color w:val="auto"/>
                <w:sz w:val="24"/>
                <w:szCs w:val="24"/>
              </w:rPr>
              <w:t>1、具有独立法人资格，持有有效的营业执照；</w:t>
            </w:r>
          </w:p>
          <w:p>
            <w:pPr>
              <w:pStyle w:val="13"/>
              <w:adjustRightInd w:val="0"/>
              <w:snapToGrid w:val="0"/>
              <w:spacing w:line="276" w:lineRule="auto"/>
              <w:jc w:val="left"/>
              <w:rPr>
                <w:rStyle w:val="11"/>
                <w:rFonts w:ascii="Times New Roman" w:hAnsi="Times New Roman"/>
                <w:bCs w:val="0"/>
                <w:snapToGrid w:val="0"/>
                <w:color w:val="auto"/>
                <w:sz w:val="24"/>
                <w:szCs w:val="24"/>
              </w:rPr>
            </w:pPr>
            <w:r>
              <w:rPr>
                <w:rStyle w:val="11"/>
                <w:rFonts w:ascii="Times New Roman" w:hAnsi="Times New Roman"/>
                <w:bCs w:val="0"/>
                <w:snapToGrid w:val="0"/>
                <w:color w:val="auto"/>
                <w:sz w:val="24"/>
                <w:szCs w:val="24"/>
              </w:rPr>
              <w:t>2、具有国家认证认可监督管理委员会颁发的认证机构批准书。</w:t>
            </w:r>
          </w:p>
        </w:tc>
      </w:tr>
    </w:tbl>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r>
        <w:rPr>
          <w:rFonts w:ascii="Times New Roman" w:hAnsi="Times New Roman"/>
          <w:snapToGrid w:val="0"/>
          <w:kern w:val="0"/>
          <w:sz w:val="24"/>
        </w:rPr>
        <w:t>附录2  资格审查条件（业绩最低要求）</w:t>
      </w:r>
    </w:p>
    <w:tbl>
      <w:tblPr>
        <w:tblStyle w:val="5"/>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3"/>
              <w:adjustRightInd w:val="0"/>
              <w:snapToGrid w:val="0"/>
              <w:spacing w:line="276" w:lineRule="auto"/>
              <w:ind w:firstLine="480" w:firstLineChars="200"/>
              <w:jc w:val="left"/>
              <w:rPr>
                <w:rStyle w:val="11"/>
                <w:rFonts w:ascii="Times New Roman" w:hAnsi="Times New Roman"/>
                <w:bCs w:val="0"/>
                <w:snapToGrid w:val="0"/>
                <w:color w:val="auto"/>
                <w:sz w:val="24"/>
                <w:szCs w:val="24"/>
              </w:rPr>
            </w:pPr>
            <w:r>
              <w:rPr>
                <w:rStyle w:val="11"/>
                <w:rFonts w:ascii="Times New Roman" w:hAnsi="Times New Roman"/>
                <w:bCs w:val="0"/>
                <w:snapToGrid w:val="0"/>
                <w:color w:val="auto"/>
                <w:sz w:val="24"/>
                <w:szCs w:val="24"/>
              </w:rPr>
              <w:t>近三年（2021年7月1日至投标截止时间，以合同签订时间为准）</w:t>
            </w:r>
            <w:r>
              <w:rPr>
                <w:rStyle w:val="11"/>
                <w:rFonts w:hint="eastAsia" w:ascii="Times New Roman" w:hAnsi="Times New Roman"/>
                <w:snapToGrid w:val="0"/>
                <w:color w:val="auto"/>
                <w:sz w:val="24"/>
              </w:rPr>
              <w:t>至少完成过1个碳中和或零（低）碳评价认证项目。</w:t>
            </w:r>
          </w:p>
        </w:tc>
      </w:tr>
    </w:tbl>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r>
        <w:rPr>
          <w:rFonts w:ascii="Times New Roman" w:hAnsi="Times New Roman"/>
          <w:snapToGrid w:val="0"/>
          <w:kern w:val="0"/>
          <w:sz w:val="24"/>
        </w:rPr>
        <w:t>附录3  资格审查条件（信誉最低要求）</w:t>
      </w:r>
    </w:p>
    <w:tbl>
      <w:tblPr>
        <w:tblStyle w:val="5"/>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3"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spacing w:after="0"/>
              <w:ind w:firstLine="480"/>
              <w:rPr>
                <w:rStyle w:val="11"/>
                <w:rFonts w:ascii="Times New Roman" w:hAnsi="Times New Roman"/>
                <w:snapToGrid w:val="0"/>
                <w:sz w:val="24"/>
                <w:szCs w:val="32"/>
                <w:lang w:val="en-US" w:bidi="ar"/>
              </w:rPr>
            </w:pPr>
            <w:r>
              <w:rPr>
                <w:rStyle w:val="11"/>
                <w:rFonts w:hint="eastAsia" w:hAnsi="宋体" w:cs="宋体"/>
                <w:snapToGrid w:val="0"/>
                <w:sz w:val="24"/>
                <w:szCs w:val="24"/>
                <w:lang w:val="en-US" w:bidi="ar-SA"/>
              </w:rPr>
              <w:t>投标人在过去1年中（2023年7月1日至投标截止时间）不曾在碳中和或零</w:t>
            </w:r>
            <w:r>
              <w:rPr>
                <w:rStyle w:val="11"/>
                <w:rFonts w:hint="eastAsia" w:ascii="Times New Roman" w:hAnsi="Times New Roman"/>
                <w:bCs/>
                <w:snapToGrid w:val="0"/>
                <w:sz w:val="24"/>
                <w:lang w:val="en-US"/>
              </w:rPr>
              <w:t>（低）</w:t>
            </w:r>
            <w:r>
              <w:rPr>
                <w:rStyle w:val="11"/>
                <w:rFonts w:hint="eastAsia" w:hAnsi="宋体" w:cs="宋体"/>
                <w:snapToGrid w:val="0"/>
                <w:sz w:val="24"/>
                <w:szCs w:val="24"/>
                <w:lang w:val="en-US" w:bidi="ar-SA"/>
              </w:rPr>
              <w:t>碳评价认证服务合同中违约被逐或因投标人自身的原因而使合同被解除。</w:t>
            </w:r>
          </w:p>
        </w:tc>
      </w:tr>
    </w:tbl>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p>
    <w:p>
      <w:pPr>
        <w:adjustRightInd w:val="0"/>
        <w:snapToGrid w:val="0"/>
        <w:spacing w:line="276" w:lineRule="auto"/>
        <w:jc w:val="center"/>
        <w:rPr>
          <w:rFonts w:ascii="Times New Roman" w:hAnsi="Times New Roman"/>
          <w:snapToGrid w:val="0"/>
          <w:kern w:val="0"/>
          <w:sz w:val="24"/>
        </w:rPr>
      </w:pPr>
      <w:r>
        <w:rPr>
          <w:rFonts w:ascii="Times New Roman" w:hAnsi="Times New Roman"/>
          <w:snapToGrid w:val="0"/>
          <w:kern w:val="0"/>
          <w:sz w:val="24"/>
        </w:rPr>
        <w:t>附录4  资格审查条件（</w:t>
      </w:r>
      <w:r>
        <w:rPr>
          <w:rFonts w:hint="eastAsia" w:ascii="Times New Roman" w:hAnsi="Times New Roman"/>
          <w:snapToGrid w:val="0"/>
          <w:kern w:val="0"/>
          <w:sz w:val="24"/>
        </w:rPr>
        <w:t>项目负责人</w:t>
      </w:r>
      <w:r>
        <w:rPr>
          <w:rFonts w:ascii="Times New Roman" w:hAnsi="Times New Roman"/>
          <w:snapToGrid w:val="0"/>
          <w:kern w:val="0"/>
          <w:sz w:val="24"/>
        </w:rPr>
        <w:t>最低要求）</w:t>
      </w:r>
    </w:p>
    <w:tbl>
      <w:tblPr>
        <w:tblStyle w:val="5"/>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03"/>
        <w:gridCol w:w="798"/>
        <w:gridCol w:w="6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人员</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数量</w:t>
            </w:r>
          </w:p>
        </w:tc>
        <w:tc>
          <w:tcPr>
            <w:tcW w:w="359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hint="eastAsia" w:ascii="Times New Roman" w:hAnsi="Times New Roman"/>
                <w:snapToGrid w:val="0"/>
                <w:sz w:val="24"/>
              </w:rPr>
              <w:t>项目负责人</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1"/>
                <w:rFonts w:ascii="Times New Roman" w:hAnsi="Times New Roman"/>
                <w:snapToGrid w:val="0"/>
                <w:sz w:val="24"/>
              </w:rPr>
            </w:pPr>
            <w:r>
              <w:rPr>
                <w:rStyle w:val="11"/>
                <w:rFonts w:ascii="Times New Roman" w:hAnsi="Times New Roman"/>
                <w:snapToGrid w:val="0"/>
                <w:sz w:val="24"/>
              </w:rPr>
              <w:t>1</w:t>
            </w:r>
          </w:p>
        </w:tc>
        <w:tc>
          <w:tcPr>
            <w:tcW w:w="359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textAlignment w:val="baseline"/>
              <w:rPr>
                <w:rStyle w:val="11"/>
                <w:rFonts w:ascii="Times New Roman" w:hAnsi="Times New Roman"/>
                <w:snapToGrid w:val="0"/>
                <w:sz w:val="24"/>
              </w:rPr>
            </w:pPr>
            <w:r>
              <w:rPr>
                <w:rStyle w:val="11"/>
                <w:rFonts w:hint="eastAsia" w:ascii="Times New Roman" w:hAnsi="Times New Roman"/>
                <w:bCs/>
                <w:snapToGrid w:val="0"/>
                <w:sz w:val="24"/>
              </w:rPr>
              <w:t>项目负责人必须具有工程类相关专业高级及以上技术职称。</w:t>
            </w:r>
          </w:p>
        </w:tc>
      </w:tr>
    </w:tbl>
    <w:p>
      <w:pPr>
        <w:widowControl/>
        <w:jc w:val="left"/>
        <w:rPr>
          <w:rFonts w:ascii="Times New Roman" w:hAnsi="Times New Roman"/>
          <w:spacing w:val="-8"/>
          <w:sz w:val="24"/>
          <w:szCs w:val="24"/>
        </w:rPr>
      </w:pPr>
      <w:r>
        <w:rPr>
          <w:rFonts w:ascii="Times New Roman" w:hAnsi="Times New Roman"/>
        </w:rPr>
        <w:br w:type="page"/>
      </w:r>
      <w:bookmarkStart w:id="1" w:name="_Toc134896104"/>
    </w:p>
    <w:p>
      <w:pPr>
        <w:pStyle w:val="2"/>
        <w:snapToGrid w:val="0"/>
        <w:spacing w:before="156" w:beforeLines="50" w:after="156" w:afterLines="50" w:line="240" w:lineRule="auto"/>
        <w:rPr>
          <w:rFonts w:ascii="Times New Roman" w:hAnsi="Times New Roman"/>
          <w:sz w:val="24"/>
          <w:szCs w:val="24"/>
        </w:rPr>
      </w:pPr>
      <w:r>
        <w:rPr>
          <w:rFonts w:ascii="Times New Roman" w:hAnsi="Times New Roman"/>
          <w:sz w:val="24"/>
          <w:szCs w:val="24"/>
        </w:rPr>
        <w:t>附件2：评标办法</w:t>
      </w:r>
      <w:bookmarkEnd w:id="1"/>
    </w:p>
    <w:p>
      <w:pPr>
        <w:pStyle w:val="2"/>
        <w:snapToGrid w:val="0"/>
        <w:spacing w:before="120" w:after="120" w:line="240" w:lineRule="auto"/>
        <w:rPr>
          <w:rFonts w:ascii="Times New Roman" w:hAnsi="Times New Roman"/>
          <w:sz w:val="24"/>
          <w:szCs w:val="24"/>
        </w:rPr>
      </w:pPr>
      <w:bookmarkStart w:id="2" w:name="_Toc65820978"/>
      <w:bookmarkStart w:id="3" w:name="_Toc66984522"/>
      <w:bookmarkStart w:id="4" w:name="_Toc66337244"/>
      <w:bookmarkStart w:id="5" w:name="_Toc65857110"/>
      <w:bookmarkStart w:id="6" w:name="_Toc134896105"/>
      <w:r>
        <w:rPr>
          <w:rFonts w:ascii="Times New Roman" w:hAnsi="Times New Roman"/>
          <w:sz w:val="24"/>
          <w:szCs w:val="24"/>
        </w:rPr>
        <w:t>评标办法前附表</w:t>
      </w:r>
      <w:bookmarkEnd w:id="2"/>
      <w:bookmarkEnd w:id="3"/>
      <w:bookmarkEnd w:id="4"/>
      <w:bookmarkEnd w:id="5"/>
      <w:bookmarkEnd w:id="6"/>
    </w:p>
    <w:tbl>
      <w:tblPr>
        <w:tblStyle w:val="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8" w:type="dxa"/>
            <w:gridSpan w:val="2"/>
            <w:vAlign w:val="center"/>
          </w:tcPr>
          <w:p>
            <w:pPr>
              <w:jc w:val="center"/>
              <w:rPr>
                <w:rFonts w:ascii="Times New Roman" w:hAnsi="Times New Roman"/>
              </w:rPr>
            </w:pPr>
            <w:r>
              <w:rPr>
                <w:rFonts w:ascii="Times New Roman" w:hAnsi="Times New Roman"/>
              </w:rPr>
              <w:t>条款号</w:t>
            </w:r>
          </w:p>
        </w:tc>
        <w:tc>
          <w:tcPr>
            <w:tcW w:w="7648" w:type="dxa"/>
            <w:gridSpan w:val="2"/>
            <w:vAlign w:val="center"/>
          </w:tcPr>
          <w:p>
            <w:pPr>
              <w:jc w:val="center"/>
              <w:rPr>
                <w:rFonts w:ascii="Times New Roman" w:hAnsi="Times New Roman"/>
              </w:rPr>
            </w:pPr>
            <w:r>
              <w:rPr>
                <w:rFonts w:ascii="Times New Roman" w:hAnsi="Times New Roma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1</w:t>
            </w:r>
          </w:p>
        </w:tc>
        <w:tc>
          <w:tcPr>
            <w:tcW w:w="1141" w:type="dxa"/>
            <w:vAlign w:val="center"/>
          </w:tcPr>
          <w:p>
            <w:pPr>
              <w:jc w:val="center"/>
              <w:rPr>
                <w:rFonts w:ascii="Times New Roman" w:hAnsi="Times New Roman"/>
              </w:rPr>
            </w:pPr>
            <w:r>
              <w:rPr>
                <w:rFonts w:ascii="Times New Roman" w:hAnsi="Times New Roman"/>
              </w:rPr>
              <w:t>评标方法</w:t>
            </w:r>
          </w:p>
        </w:tc>
        <w:tc>
          <w:tcPr>
            <w:tcW w:w="7641" w:type="dxa"/>
            <w:vAlign w:val="center"/>
          </w:tcPr>
          <w:p>
            <w:pPr>
              <w:ind w:firstLine="315" w:firstLineChars="150"/>
              <w:jc w:val="left"/>
              <w:rPr>
                <w:rFonts w:ascii="Times New Roman" w:hAnsi="Times New Roman"/>
              </w:rPr>
            </w:pPr>
            <w:r>
              <w:rPr>
                <w:rFonts w:ascii="Times New Roman" w:hAnsi="Times New Roman"/>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Times New Roman" w:hAnsi="Times New Roman"/>
              </w:rPr>
            </w:pPr>
            <w:r>
              <w:rPr>
                <w:rFonts w:ascii="Times New Roman" w:hAnsi="Times New Roman"/>
              </w:rPr>
              <w:t>（1）评标价低的投标人优先；</w:t>
            </w:r>
          </w:p>
          <w:p>
            <w:pPr>
              <w:ind w:firstLine="315" w:firstLineChars="150"/>
              <w:jc w:val="left"/>
              <w:rPr>
                <w:rFonts w:ascii="Times New Roman" w:hAnsi="Times New Roman"/>
              </w:rPr>
            </w:pPr>
            <w:r>
              <w:rPr>
                <w:rFonts w:ascii="Times New Roman" w:hAnsi="Times New Roman"/>
              </w:rPr>
              <w:t>（2）技术建议书得分较高的投标人优先</w:t>
            </w:r>
            <w:r>
              <w:rPr>
                <w:rFonts w:hint="eastAsia" w:ascii="Times New Roman" w:hAnsi="Times New Roman"/>
              </w:rPr>
              <w:t>。</w:t>
            </w:r>
            <w:r>
              <w:rPr>
                <w:rFonts w:ascii="Times New Roman" w:hAnsi="Times New Roman"/>
              </w:rPr>
              <w:t>；</w:t>
            </w:r>
          </w:p>
          <w:p>
            <w:pPr>
              <w:ind w:firstLine="315" w:firstLineChars="150"/>
              <w:jc w:val="left"/>
              <w:rPr>
                <w:rFonts w:ascii="Times New Roman" w:hAnsi="Times New Roman"/>
              </w:rPr>
            </w:pPr>
            <w:r>
              <w:rPr>
                <w:rFonts w:ascii="Times New Roman" w:hAnsi="Times New Roman"/>
              </w:rPr>
              <w:t>（3）投标文件中满足附录2资格审查条件(业绩最低要求) 的业绩</w:t>
            </w:r>
            <w:r>
              <w:rPr>
                <w:rFonts w:hint="eastAsia" w:ascii="Times New Roman" w:hAnsi="Times New Roman"/>
              </w:rPr>
              <w:t>数量多</w:t>
            </w:r>
            <w:r>
              <w:rPr>
                <w:rFonts w:ascii="Times New Roman" w:hAnsi="Times New Roman"/>
              </w:rPr>
              <w:t>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2.1.1</w:t>
            </w:r>
          </w:p>
          <w:p>
            <w:pPr>
              <w:jc w:val="center"/>
              <w:rPr>
                <w:rFonts w:ascii="Times New Roman" w:hAnsi="Times New Roman"/>
              </w:rPr>
            </w:pPr>
            <w:r>
              <w:rPr>
                <w:rFonts w:ascii="Times New Roman" w:hAnsi="Times New Roman"/>
              </w:rPr>
              <w:t>2.1.3</w:t>
            </w:r>
          </w:p>
        </w:tc>
        <w:tc>
          <w:tcPr>
            <w:tcW w:w="1141" w:type="dxa"/>
            <w:vAlign w:val="center"/>
          </w:tcPr>
          <w:p>
            <w:pPr>
              <w:jc w:val="center"/>
              <w:rPr>
                <w:rFonts w:ascii="Times New Roman" w:hAnsi="Times New Roman"/>
              </w:rPr>
            </w:pPr>
            <w:r>
              <w:rPr>
                <w:rFonts w:ascii="Times New Roman" w:hAnsi="Times New Roman"/>
              </w:rPr>
              <w:t>形式评审与响应性评审标准</w:t>
            </w:r>
          </w:p>
        </w:tc>
        <w:tc>
          <w:tcPr>
            <w:tcW w:w="7641" w:type="dxa"/>
          </w:tcPr>
          <w:p>
            <w:pPr>
              <w:tabs>
                <w:tab w:val="left" w:pos="3060"/>
              </w:tabs>
              <w:spacing w:line="320" w:lineRule="exact"/>
              <w:ind w:firstLine="105" w:firstLineChars="50"/>
              <w:rPr>
                <w:rFonts w:ascii="Times New Roman" w:hAnsi="Times New Roman"/>
                <w:b/>
                <w:szCs w:val="21"/>
              </w:rPr>
            </w:pPr>
            <w:r>
              <w:rPr>
                <w:rFonts w:ascii="Times New Roman" w:hAnsi="Times New Roman"/>
                <w:b/>
                <w:szCs w:val="21"/>
              </w:rPr>
              <w:t>第一个信封（商务及技术文件）评审标准：</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（1）投标文件按照招标文件规定的格式、内容填写，字迹清晰可辨：</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a．投标函按招标文件规定填报了、补遗书编号（如有）、项目负责人相关信息等内容；</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b．投标文件组成齐全完整，内容均按规定填写。</w:t>
            </w:r>
          </w:p>
          <w:p>
            <w:pPr>
              <w:tabs>
                <w:tab w:val="left" w:pos="3060"/>
              </w:tabs>
              <w:spacing w:line="320" w:lineRule="exact"/>
              <w:ind w:firstLine="105" w:firstLineChars="50"/>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（3）投标人按照招标文件的规定提供了投标保证金：</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a.投标保证金金额符合招标文件规定的金额，且投标保证金有效期不少于投标有效期；</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b.若投标保证金采用</w:t>
            </w:r>
            <w:r>
              <w:rPr>
                <w:rFonts w:ascii="Times New Roman" w:hAnsi="Times New Roman"/>
                <w:kern w:val="0"/>
                <w:szCs w:val="21"/>
              </w:rPr>
              <w:t>电汇或转账</w:t>
            </w:r>
            <w:r>
              <w:rPr>
                <w:rFonts w:ascii="Times New Roman" w:hAnsi="Times New Roman"/>
                <w:szCs w:val="21"/>
              </w:rPr>
              <w:t>形式提交，投标人应在递交投标文件截止时间之前，将投标保证金由投标人的基本账户转入招标人指定账户；</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c.若投标保证金采用保函形式提交，开具的保函满足招标文件要求。</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d.若投标保证金采用保证保险形式提交，开具的保证保险满足招标文件要求。</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（4）投标人法定代表人授权委托代理人签署投标文件的，提</w:t>
            </w:r>
            <w:r>
              <w:rPr>
                <w:rFonts w:hint="eastAsia" w:ascii="Times New Roman" w:hAnsi="Times New Roman"/>
                <w:szCs w:val="21"/>
              </w:rPr>
              <w:t>供了</w:t>
            </w:r>
            <w:r>
              <w:rPr>
                <w:rFonts w:ascii="Times New Roman" w:hAnsi="Times New Roman"/>
                <w:szCs w:val="21"/>
              </w:rPr>
              <w:t>授权委托书</w:t>
            </w:r>
            <w:r>
              <w:rPr>
                <w:rFonts w:hint="eastAsia" w:ascii="Times New Roman" w:hAnsi="Times New Roman"/>
                <w:szCs w:val="21"/>
              </w:rPr>
              <w:t>，符合招标文件规定</w:t>
            </w:r>
            <w:r>
              <w:rPr>
                <w:rFonts w:ascii="Times New Roman" w:hAnsi="Times New Roman"/>
                <w:szCs w:val="21"/>
              </w:rPr>
              <w:t>。</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（5）投标人法定代表人亲自签署投标文件的，提供了法定代表人身份证明</w:t>
            </w:r>
            <w:r>
              <w:rPr>
                <w:rFonts w:hint="eastAsia" w:ascii="Times New Roman" w:hAnsi="Times New Roman"/>
                <w:szCs w:val="21"/>
              </w:rPr>
              <w:t>，符合招标文件规定</w:t>
            </w:r>
            <w:r>
              <w:rPr>
                <w:rFonts w:ascii="Times New Roman" w:hAnsi="Times New Roman"/>
                <w:szCs w:val="21"/>
              </w:rPr>
              <w:t>。</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（6）投标人未以联合体形式投标。</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（7）投标人未对本项目提出分包计划。</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（8）投标人未提交备选方案。</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）同一投标人未提交两个以上不同的投标文件。</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）投标文件中未出现有关投标报价的内容。</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）投标文件载明的招标</w:t>
            </w:r>
            <w:r>
              <w:rPr>
                <w:rFonts w:hint="eastAsia" w:ascii="Times New Roman" w:hAnsi="Times New Roman"/>
                <w:szCs w:val="21"/>
              </w:rPr>
              <w:t>服务</w:t>
            </w:r>
            <w:r>
              <w:rPr>
                <w:rFonts w:ascii="Times New Roman" w:hAnsi="Times New Roman"/>
                <w:szCs w:val="21"/>
              </w:rPr>
              <w:t>期限符合招标文件规定。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）投标文件对招标文件的实质性要求和条件作出响应。</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）权利义务符合招标文件规定：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a.投标人应接受招标文件规定的风险划分原则，未提出新的风险划分办法；</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b.投标人未增加发包人的责任范围，或减少投标人义务；</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c.投标人未提出不同的支付办法；</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d.投标人对合同纠纷、事故处理办法未提出异议；</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e.投标人在投标活动中无欺诈行为；</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f.投标人未对合同条款有重要保留。</w:t>
            </w:r>
          </w:p>
          <w:p>
            <w:pPr>
              <w:spacing w:line="276" w:lineRule="auto"/>
              <w:jc w:val="left"/>
              <w:rPr>
                <w:rFonts w:ascii="Times New Roman" w:hAnsi="Times New Roman"/>
                <w:szCs w:val="21"/>
              </w:rPr>
            </w:pPr>
            <w:r>
              <w:rPr>
                <w:b/>
                <w:bCs/>
                <w:spacing w:val="-4"/>
                <w:szCs w:val="21"/>
              </w:rPr>
              <w:t>第一个信封（技术文件）评审标准</w:t>
            </w:r>
            <w:r>
              <w:rPr>
                <w:rFonts w:hint="eastAsia"/>
                <w:b/>
                <w:bCs/>
                <w:spacing w:val="-4"/>
                <w:szCs w:val="21"/>
              </w:rPr>
              <w:t>（暗标部分）</w:t>
            </w:r>
            <w:r>
              <w:rPr>
                <w:b/>
                <w:bCs/>
                <w:spacing w:val="-4"/>
                <w:szCs w:val="21"/>
              </w:rPr>
              <w:t>：</w:t>
            </w:r>
          </w:p>
          <w:p>
            <w:pPr>
              <w:tabs>
                <w:tab w:val="left" w:pos="3060"/>
              </w:tabs>
              <w:spacing w:line="320" w:lineRule="exact"/>
              <w:ind w:firstLine="105" w:firstLineChars="50"/>
              <w:rPr>
                <w:rFonts w:ascii="Times New Roman" w:hAnsi="Times New Roman"/>
                <w:szCs w:val="21"/>
              </w:rPr>
            </w:pPr>
            <w:r>
              <w:rPr>
                <w:rFonts w:hint="eastAsia" w:ascii="Times New Roman" w:hAnsi="Times New Roman"/>
                <w:szCs w:val="21"/>
              </w:rPr>
              <w:t>（1）暗标部分按照投标人须知前附表10.5对暗标编制的相关规定编制。</w:t>
            </w:r>
          </w:p>
          <w:p>
            <w:pPr>
              <w:tabs>
                <w:tab w:val="left" w:pos="3060"/>
              </w:tabs>
              <w:spacing w:line="320" w:lineRule="exact"/>
              <w:ind w:firstLine="105" w:firstLineChars="50"/>
              <w:rPr>
                <w:rFonts w:ascii="Times New Roman" w:hAnsi="Times New Roman"/>
                <w:b/>
                <w:szCs w:val="21"/>
              </w:rPr>
            </w:pPr>
            <w:r>
              <w:rPr>
                <w:rFonts w:ascii="Times New Roman" w:hAnsi="Times New Roman"/>
                <w:b/>
                <w:szCs w:val="21"/>
              </w:rPr>
              <w:t>第二个信封（报价文件）评审标准：</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（1）投标文件按照招标文件规定的格式、内容填写，字迹清晰可辨，内容齐全完整：</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a．投标函按招标文件规定填报了补遗书编号（如有）、投标价（包括大写金额和小写金额）；</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b．费用清单说明文字与招标文件规定一致，未进行实质性修改和删减；</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c．投标文件组成齐全完整，内容均按规定填写。</w:t>
            </w:r>
          </w:p>
          <w:p>
            <w:pPr>
              <w:tabs>
                <w:tab w:val="left" w:pos="3060"/>
              </w:tabs>
              <w:spacing w:line="320" w:lineRule="exact"/>
              <w:ind w:firstLine="105" w:firstLineChars="50"/>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（3）投标报价中的报价未超过招标文件设定的最高投标限价和各分项最高限价。</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（4）投标报价中报价的大写金额能够确定具体数值。</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（5）同一投标人未提交两个以上不同的投标报价。</w:t>
            </w:r>
          </w:p>
          <w:p>
            <w:pPr>
              <w:tabs>
                <w:tab w:val="left" w:pos="3060"/>
              </w:tabs>
              <w:spacing w:line="320" w:lineRule="exact"/>
              <w:ind w:firstLine="105" w:firstLineChars="50"/>
              <w:rPr>
                <w:rFonts w:ascii="Times New Roman" w:hAnsi="Times New Roman"/>
              </w:rPr>
            </w:pPr>
            <w:r>
              <w:rPr>
                <w:rFonts w:ascii="Times New Roman" w:hAnsi="Times New Roman"/>
                <w:szCs w:val="21"/>
              </w:rPr>
              <w:t>（6）费用清单中的投标报价和投标函大写金额报价一致。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2.1.2</w:t>
            </w:r>
          </w:p>
        </w:tc>
        <w:tc>
          <w:tcPr>
            <w:tcW w:w="1141" w:type="dxa"/>
            <w:vAlign w:val="center"/>
          </w:tcPr>
          <w:p>
            <w:pPr>
              <w:jc w:val="center"/>
              <w:rPr>
                <w:rFonts w:ascii="Times New Roman" w:hAnsi="Times New Roman"/>
              </w:rPr>
            </w:pPr>
            <w:r>
              <w:rPr>
                <w:rFonts w:ascii="Times New Roman" w:hAnsi="Times New Roman"/>
              </w:rPr>
              <w:t>资格评审标准</w:t>
            </w:r>
          </w:p>
        </w:tc>
        <w:tc>
          <w:tcPr>
            <w:tcW w:w="7641" w:type="dxa"/>
          </w:tcPr>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（1）投标人具备有效的营业执照、组织机构代码证（三证合一或五证合一的除外）、资质证书和基本账户开户许可证（或基本存款账户信息）；</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（2）投标人的资质等级符合招标文件规定；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（3）投标人的类似项目业绩符合招标文件规定；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（4）投标人的信誉符合招标文件规定；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 xml:space="preserve">（5）投标人的项目负责人资格符合招标文件规定； </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2.2.1</w:t>
            </w:r>
          </w:p>
        </w:tc>
        <w:tc>
          <w:tcPr>
            <w:tcW w:w="1141" w:type="dxa"/>
            <w:vAlign w:val="center"/>
          </w:tcPr>
          <w:p>
            <w:pPr>
              <w:jc w:val="center"/>
              <w:rPr>
                <w:rFonts w:ascii="Times New Roman" w:hAnsi="Times New Roman"/>
              </w:rPr>
            </w:pPr>
            <w:r>
              <w:rPr>
                <w:rFonts w:ascii="Times New Roman" w:hAnsi="Times New Roman"/>
              </w:rPr>
              <w:t>分值构成（总分100分）</w:t>
            </w:r>
          </w:p>
        </w:tc>
        <w:tc>
          <w:tcPr>
            <w:tcW w:w="7641" w:type="dxa"/>
            <w:vAlign w:val="center"/>
          </w:tcPr>
          <w:p>
            <w:pPr>
              <w:jc w:val="left"/>
              <w:rPr>
                <w:rFonts w:ascii="Times New Roman" w:hAnsi="Times New Roman"/>
                <w:b/>
              </w:rPr>
            </w:pPr>
            <w:r>
              <w:rPr>
                <w:rFonts w:ascii="Times New Roman" w:hAnsi="Times New Roman"/>
                <w:b/>
              </w:rPr>
              <w:t>第一个信封（商务及技术文件）评分分值构成：</w:t>
            </w:r>
          </w:p>
          <w:p>
            <w:pPr>
              <w:jc w:val="left"/>
              <w:rPr>
                <w:rFonts w:ascii="Times New Roman" w:hAnsi="Times New Roman"/>
                <w:b/>
              </w:rPr>
            </w:pPr>
            <w:r>
              <w:rPr>
                <w:rFonts w:ascii="Times New Roman" w:hAnsi="Times New Roman"/>
                <w:b/>
              </w:rPr>
              <w:t>技术建议书：</w:t>
            </w:r>
            <w:r>
              <w:rPr>
                <w:rFonts w:hint="eastAsia" w:ascii="Times New Roman" w:hAnsi="Times New Roman"/>
                <w:b/>
                <w:u w:val="single"/>
              </w:rPr>
              <w:t>40</w:t>
            </w:r>
            <w:r>
              <w:rPr>
                <w:rFonts w:ascii="Times New Roman" w:hAnsi="Times New Roman"/>
                <w:b/>
              </w:rPr>
              <w:t>分</w:t>
            </w:r>
          </w:p>
          <w:p>
            <w:pPr>
              <w:jc w:val="left"/>
              <w:rPr>
                <w:rFonts w:ascii="Times New Roman" w:hAnsi="Times New Roman"/>
                <w:b/>
              </w:rPr>
            </w:pPr>
            <w:r>
              <w:rPr>
                <w:rFonts w:ascii="Times New Roman" w:hAnsi="Times New Roman"/>
                <w:b/>
              </w:rPr>
              <w:t>主要人员：</w:t>
            </w:r>
            <w:r>
              <w:rPr>
                <w:rFonts w:hint="eastAsia" w:ascii="Times New Roman" w:hAnsi="Times New Roman"/>
                <w:b/>
              </w:rPr>
              <w:t>2</w:t>
            </w:r>
            <w:r>
              <w:rPr>
                <w:rFonts w:ascii="Times New Roman" w:hAnsi="Times New Roman"/>
                <w:b/>
                <w:u w:val="single"/>
              </w:rPr>
              <w:t>0</w:t>
            </w:r>
            <w:r>
              <w:rPr>
                <w:rFonts w:ascii="Times New Roman" w:hAnsi="Times New Roman"/>
                <w:b/>
              </w:rPr>
              <w:t>分</w:t>
            </w:r>
          </w:p>
          <w:p>
            <w:pPr>
              <w:jc w:val="left"/>
              <w:rPr>
                <w:rFonts w:ascii="Times New Roman" w:hAnsi="Times New Roman"/>
                <w:b/>
              </w:rPr>
            </w:pPr>
            <w:r>
              <w:rPr>
                <w:rFonts w:ascii="Times New Roman" w:hAnsi="Times New Roman"/>
                <w:b/>
              </w:rPr>
              <w:t>其他因素：</w:t>
            </w:r>
            <w:r>
              <w:rPr>
                <w:rFonts w:hint="eastAsia" w:ascii="Times New Roman" w:hAnsi="Times New Roman"/>
                <w:b/>
              </w:rPr>
              <w:t>1</w:t>
            </w:r>
            <w:r>
              <w:rPr>
                <w:rFonts w:hint="eastAsia" w:ascii="Times New Roman" w:hAnsi="Times New Roman"/>
                <w:b/>
                <w:u w:val="single"/>
              </w:rPr>
              <w:t>0</w:t>
            </w:r>
            <w:r>
              <w:rPr>
                <w:rFonts w:ascii="Times New Roman" w:hAnsi="Times New Roman"/>
                <w:b/>
              </w:rPr>
              <w:t>分</w:t>
            </w:r>
          </w:p>
          <w:p>
            <w:pPr>
              <w:jc w:val="left"/>
              <w:rPr>
                <w:rFonts w:ascii="Times New Roman" w:hAnsi="Times New Roman"/>
                <w:b/>
              </w:rPr>
            </w:pPr>
          </w:p>
          <w:p>
            <w:pPr>
              <w:jc w:val="left"/>
              <w:rPr>
                <w:rFonts w:ascii="Times New Roman" w:hAnsi="Times New Roman"/>
                <w:b/>
              </w:rPr>
            </w:pPr>
            <w:r>
              <w:rPr>
                <w:rFonts w:ascii="Times New Roman" w:hAnsi="Times New Roman"/>
                <w:b/>
              </w:rPr>
              <w:t>第二个信封（报价文件）评分分值构成：</w:t>
            </w:r>
          </w:p>
          <w:p>
            <w:pPr>
              <w:jc w:val="left"/>
              <w:rPr>
                <w:rFonts w:ascii="Times New Roman" w:hAnsi="Times New Roman"/>
                <w:b/>
              </w:rPr>
            </w:pPr>
            <w:r>
              <w:rPr>
                <w:rFonts w:ascii="Times New Roman" w:hAnsi="Times New Roman"/>
                <w:b/>
              </w:rPr>
              <w:t>评标价：</w:t>
            </w:r>
            <w:r>
              <w:rPr>
                <w:rFonts w:hint="eastAsia" w:ascii="Times New Roman" w:hAnsi="Times New Roman"/>
                <w:b/>
              </w:rPr>
              <w:t>3</w:t>
            </w:r>
            <w:r>
              <w:rPr>
                <w:rFonts w:ascii="Times New Roman" w:hAnsi="Times New Roman"/>
                <w:b/>
                <w:u w:val="single"/>
              </w:rPr>
              <w:t>0</w:t>
            </w:r>
            <w:r>
              <w:rPr>
                <w:rFonts w:ascii="Times New Roman" w:hAnsi="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2.2.2</w:t>
            </w:r>
          </w:p>
        </w:tc>
        <w:tc>
          <w:tcPr>
            <w:tcW w:w="1141" w:type="dxa"/>
            <w:vAlign w:val="center"/>
          </w:tcPr>
          <w:p>
            <w:pPr>
              <w:jc w:val="center"/>
              <w:rPr>
                <w:rFonts w:ascii="Times New Roman" w:hAnsi="Times New Roman"/>
              </w:rPr>
            </w:pPr>
            <w:r>
              <w:rPr>
                <w:rFonts w:ascii="Times New Roman" w:hAnsi="Times New Roman"/>
              </w:rPr>
              <w:t>评标基准价计算方法</w:t>
            </w:r>
          </w:p>
        </w:tc>
        <w:tc>
          <w:tcPr>
            <w:tcW w:w="7641" w:type="dxa"/>
            <w:vAlign w:val="center"/>
          </w:tcPr>
          <w:p>
            <w:pPr>
              <w:snapToGrid w:val="0"/>
              <w:spacing w:line="320" w:lineRule="exact"/>
              <w:jc w:val="left"/>
              <w:rPr>
                <w:rFonts w:ascii="Times New Roman" w:hAnsi="Times New Roman"/>
                <w:b/>
              </w:rPr>
            </w:pPr>
            <w:r>
              <w:rPr>
                <w:rFonts w:ascii="Times New Roman" w:hAnsi="Times New Roman"/>
                <w:b/>
              </w:rPr>
              <w:t>评标基准价的计算：</w:t>
            </w:r>
          </w:p>
          <w:p>
            <w:pPr>
              <w:snapToGrid w:val="0"/>
              <w:spacing w:line="320" w:lineRule="exact"/>
              <w:ind w:right="113"/>
              <w:rPr>
                <w:rFonts w:ascii="Times New Roman" w:hAnsi="Times New Roman"/>
                <w:szCs w:val="21"/>
              </w:rPr>
            </w:pPr>
            <w:r>
              <w:rPr>
                <w:rFonts w:ascii="Times New Roman" w:hAnsi="Times New Roman"/>
                <w:szCs w:val="21"/>
              </w:rPr>
              <w:t>在开标现场，招标人将当场计算并宣布评标基准价。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（1）评标价的确定：</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评标价=投标函文字报价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（2）评标价平均值的计算：</w:t>
            </w:r>
          </w:p>
          <w:p>
            <w:pPr>
              <w:snapToGrid w:val="0"/>
              <w:spacing w:line="320" w:lineRule="exact"/>
              <w:ind w:right="113" w:firstLine="426" w:firstLineChars="203"/>
              <w:rPr>
                <w:rFonts w:ascii="Times New Roman" w:hAnsi="Times New Roman"/>
                <w:szCs w:val="21"/>
              </w:rPr>
            </w:pPr>
            <w:r>
              <w:rPr>
                <w:rFonts w:ascii="Times New Roman" w:hAnsi="Times New Roman"/>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Times New Roman" w:hAnsi="Times New Roman"/>
                <w:szCs w:val="21"/>
              </w:rPr>
            </w:pPr>
            <w:r>
              <w:rPr>
                <w:rFonts w:ascii="Times New Roman" w:hAnsi="Times New Roman"/>
                <w:szCs w:val="21"/>
              </w:rPr>
              <w:t>（3）评标基准价的确定：</w:t>
            </w:r>
          </w:p>
          <w:p>
            <w:pPr>
              <w:snapToGrid w:val="0"/>
              <w:spacing w:line="320" w:lineRule="exact"/>
              <w:ind w:right="113"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rPr>
            </w:pPr>
            <w:r>
              <w:rPr>
                <w:rFonts w:ascii="Times New Roman" w:hAnsi="Times New Roman"/>
              </w:rPr>
              <w:t>2.2.3</w:t>
            </w:r>
          </w:p>
        </w:tc>
        <w:tc>
          <w:tcPr>
            <w:tcW w:w="1141" w:type="dxa"/>
            <w:vAlign w:val="center"/>
          </w:tcPr>
          <w:p>
            <w:pPr>
              <w:jc w:val="center"/>
              <w:rPr>
                <w:rFonts w:ascii="Times New Roman" w:hAnsi="Times New Roman"/>
              </w:rPr>
            </w:pPr>
            <w:r>
              <w:rPr>
                <w:rFonts w:ascii="Times New Roman" w:hAnsi="Times New Roman"/>
              </w:rPr>
              <w:t>评标价的偏差率计算公式</w:t>
            </w:r>
          </w:p>
        </w:tc>
        <w:tc>
          <w:tcPr>
            <w:tcW w:w="7641" w:type="dxa"/>
            <w:vAlign w:val="center"/>
          </w:tcPr>
          <w:p>
            <w:pPr>
              <w:jc w:val="left"/>
              <w:rPr>
                <w:rFonts w:ascii="Times New Roman" w:hAnsi="Times New Roman"/>
              </w:rPr>
            </w:pPr>
            <w:r>
              <w:rPr>
                <w:rFonts w:ascii="Times New Roman" w:hAnsi="Times New Roma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817" w:type="dxa"/>
            <w:vAlign w:val="center"/>
          </w:tcPr>
          <w:p>
            <w:pPr>
              <w:jc w:val="center"/>
              <w:rPr>
                <w:rFonts w:ascii="Times New Roman" w:hAnsi="Times New Roman"/>
                <w:szCs w:val="21"/>
              </w:rPr>
            </w:pPr>
            <w:r>
              <w:rPr>
                <w:rFonts w:ascii="Times New Roman" w:hAnsi="Times New Roman"/>
              </w:rPr>
              <w:t>3.6.1</w:t>
            </w:r>
          </w:p>
        </w:tc>
        <w:tc>
          <w:tcPr>
            <w:tcW w:w="1141" w:type="dxa"/>
            <w:vAlign w:val="center"/>
          </w:tcPr>
          <w:p>
            <w:pPr>
              <w:adjustRightInd w:val="0"/>
              <w:snapToGrid w:val="0"/>
              <w:spacing w:line="300" w:lineRule="exact"/>
              <w:jc w:val="center"/>
              <w:rPr>
                <w:rFonts w:ascii="Times New Roman" w:hAnsi="Times New Roman"/>
              </w:rPr>
            </w:pPr>
            <w:r>
              <w:rPr>
                <w:rFonts w:ascii="Times New Roman" w:hAnsi="Times New Roman"/>
              </w:rPr>
              <w:t>信息查询</w:t>
            </w:r>
          </w:p>
        </w:tc>
        <w:tc>
          <w:tcPr>
            <w:tcW w:w="7641" w:type="dxa"/>
            <w:vAlign w:val="center"/>
          </w:tcPr>
          <w:p>
            <w:pPr>
              <w:autoSpaceDE w:val="0"/>
              <w:autoSpaceDN w:val="0"/>
              <w:spacing w:line="273" w:lineRule="auto"/>
              <w:rPr>
                <w:rFonts w:ascii="Times New Roman" w:hAnsi="Times New Roman"/>
              </w:rPr>
            </w:pPr>
            <w:r>
              <w:rPr>
                <w:rFonts w:ascii="Times New Roman" w:hAnsi="Times New Roman"/>
              </w:rPr>
              <w:t>本款修改为：</w:t>
            </w:r>
          </w:p>
          <w:p>
            <w:pPr>
              <w:autoSpaceDE w:val="0"/>
              <w:autoSpaceDN w:val="0"/>
              <w:spacing w:line="273" w:lineRule="auto"/>
              <w:ind w:firstLine="420" w:firstLineChars="200"/>
              <w:rPr>
                <w:rFonts w:ascii="Times New Roman" w:hAnsi="Times New Roman"/>
              </w:rPr>
            </w:pPr>
            <w:r>
              <w:rPr>
                <w:rFonts w:ascii="Times New Roman" w:hAnsi="Times New Roman"/>
              </w:rPr>
              <w:t>评标委员会评标时应对投标人的信用情况在“国家企业信用信息公示系统”和“信用中国”网站对投标人的信用情况进行查询，若投标人存在“国家企业信用信息公示系统” 被列入严重违法失信企业名单或在“信用中国”网站“被列入失信被执行人名单、经营异常名录、重大税收违法失信主体名单、政府采购严重违法失信名单”情形的（均不含分公司），评标委员会应否决其投标。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ascii="Times New Roman" w:hAnsi="Times New Roman"/>
              </w:rPr>
            </w:pPr>
            <w:r>
              <w:rPr>
                <w:rFonts w:ascii="Times New Roman" w:hAnsi="Times New Roman"/>
              </w:rPr>
              <w:t>评标委员会评标时应对投标人的提供的各类保证金电子担保材料进行核实，未能提供有效查询途径或所查询结果与投标人所附资料不一致的，按无效投标处理。</w:t>
            </w:r>
          </w:p>
          <w:p>
            <w:pPr>
              <w:autoSpaceDE w:val="0"/>
              <w:autoSpaceDN w:val="0"/>
              <w:spacing w:line="273" w:lineRule="auto"/>
              <w:ind w:firstLine="420" w:firstLineChars="200"/>
              <w:rPr>
                <w:rFonts w:ascii="Times New Roman" w:hAnsi="Times New Roman"/>
              </w:rPr>
            </w:pPr>
            <w:r>
              <w:rPr>
                <w:rFonts w:ascii="Times New Roman" w:hAnsi="Times New Roman"/>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820652"/>
    <w:rsid w:val="000F416E"/>
    <w:rsid w:val="003C0E4C"/>
    <w:rsid w:val="00820652"/>
    <w:rsid w:val="00955C30"/>
    <w:rsid w:val="05B0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8"/>
    <w:autoRedefine/>
    <w:qFormat/>
    <w:uiPriority w:val="9"/>
    <w:pPr>
      <w:keepNext/>
      <w:keepLines/>
      <w:spacing w:before="260" w:after="260" w:line="416" w:lineRule="auto"/>
      <w:outlineLvl w:val="2"/>
    </w:pPr>
    <w:rPr>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9"/>
    <w:autoRedefine/>
    <w:qFormat/>
    <w:uiPriority w:val="0"/>
    <w:pPr>
      <w:spacing w:after="120"/>
    </w:pPr>
    <w:rPr>
      <w:rFonts w:ascii="Times New Roman" w:hAnsi="Times New Roman"/>
      <w:szCs w:val="24"/>
    </w:rPr>
  </w:style>
  <w:style w:type="paragraph" w:styleId="4">
    <w:name w:val="Body Text 2"/>
    <w:basedOn w:val="1"/>
    <w:link w:val="14"/>
    <w:autoRedefine/>
    <w:semiHidden/>
    <w:unhideWhenUsed/>
    <w:qFormat/>
    <w:uiPriority w:val="99"/>
    <w:pPr>
      <w:spacing w:after="120" w:line="480" w:lineRule="auto"/>
    </w:pPr>
  </w:style>
  <w:style w:type="character" w:customStyle="1" w:styleId="7">
    <w:name w:val="样式 四号 加粗"/>
    <w:basedOn w:val="6"/>
    <w:autoRedefine/>
    <w:uiPriority w:val="0"/>
    <w:rPr>
      <w:b/>
      <w:bCs/>
      <w:kern w:val="0"/>
      <w:sz w:val="28"/>
    </w:rPr>
  </w:style>
  <w:style w:type="character" w:customStyle="1" w:styleId="8">
    <w:name w:val="标题 3 字符"/>
    <w:basedOn w:val="6"/>
    <w:link w:val="2"/>
    <w:autoRedefine/>
    <w:qFormat/>
    <w:uiPriority w:val="9"/>
    <w:rPr>
      <w:rFonts w:ascii="Calibri" w:hAnsi="Calibri" w:eastAsia="宋体" w:cs="Times New Roman"/>
      <w:b/>
      <w:bCs/>
      <w:sz w:val="32"/>
      <w:szCs w:val="32"/>
      <w14:ligatures w14:val="none"/>
    </w:rPr>
  </w:style>
  <w:style w:type="character" w:customStyle="1" w:styleId="9">
    <w:name w:val="正文文本 字符"/>
    <w:basedOn w:val="6"/>
    <w:link w:val="3"/>
    <w:autoRedefine/>
    <w:qFormat/>
    <w:uiPriority w:val="0"/>
    <w:rPr>
      <w:rFonts w:ascii="Times New Roman" w:hAnsi="Times New Roman" w:eastAsia="宋体" w:cs="Times New Roman"/>
      <w:szCs w:val="24"/>
      <w14:ligatures w14:val="none"/>
    </w:rPr>
  </w:style>
  <w:style w:type="paragraph" w:customStyle="1" w:styleId="10">
    <w:name w:val="1正文"/>
    <w:basedOn w:val="1"/>
    <w:next w:val="1"/>
    <w:autoRedefine/>
    <w:qFormat/>
    <w:uiPriority w:val="0"/>
    <w:pPr>
      <w:widowControl/>
      <w:autoSpaceDE w:val="0"/>
      <w:autoSpaceDN w:val="0"/>
      <w:adjustRightInd w:val="0"/>
      <w:spacing w:after="200"/>
      <w:ind w:firstLine="200" w:firstLineChars="200"/>
      <w:jc w:val="left"/>
    </w:pPr>
    <w:rPr>
      <w:rFonts w:ascii="宋体" w:hAnsi="MS Sans Serif"/>
      <w:kern w:val="0"/>
      <w:szCs w:val="21"/>
      <w:lang w:val="zh-CN" w:bidi="en-US"/>
    </w:rPr>
  </w:style>
  <w:style w:type="character" w:customStyle="1" w:styleId="11">
    <w:name w:val="NormalCharacter"/>
    <w:link w:val="12"/>
    <w:autoRedefine/>
    <w:qFormat/>
    <w:uiPriority w:val="0"/>
    <w:rPr>
      <w:kern w:val="0"/>
      <w:sz w:val="20"/>
      <w:szCs w:val="20"/>
    </w:rPr>
  </w:style>
  <w:style w:type="paragraph" w:customStyle="1" w:styleId="12">
    <w:name w:val="UserStyle_24"/>
    <w:basedOn w:val="1"/>
    <w:link w:val="11"/>
    <w:autoRedefine/>
    <w:qFormat/>
    <w:uiPriority w:val="0"/>
    <w:pPr>
      <w:widowControl/>
      <w:spacing w:line="360" w:lineRule="auto"/>
      <w:ind w:firstLine="200" w:firstLineChars="200"/>
      <w:jc w:val="left"/>
    </w:pPr>
    <w:rPr>
      <w:rFonts w:asciiTheme="minorHAnsi" w:hAnsiTheme="minorHAnsi" w:eastAsiaTheme="minorEastAsia" w:cstheme="minorBidi"/>
      <w:kern w:val="0"/>
      <w:sz w:val="20"/>
      <w:szCs w:val="20"/>
      <w14:ligatures w14:val="standardContextual"/>
    </w:rPr>
  </w:style>
  <w:style w:type="paragraph" w:customStyle="1" w:styleId="13">
    <w:name w:val="UserStyle_340"/>
    <w:basedOn w:val="1"/>
    <w:autoRedefine/>
    <w:qFormat/>
    <w:uiPriority w:val="0"/>
    <w:pPr>
      <w:widowControl/>
      <w:spacing w:line="340" w:lineRule="exact"/>
      <w:jc w:val="center"/>
    </w:pPr>
    <w:rPr>
      <w:rFonts w:ascii="宋体"/>
      <w:bCs/>
      <w:color w:val="000000"/>
      <w:kern w:val="0"/>
      <w:szCs w:val="21"/>
    </w:rPr>
  </w:style>
  <w:style w:type="character" w:customStyle="1" w:styleId="14">
    <w:name w:val="正文文本 2 字符"/>
    <w:basedOn w:val="6"/>
    <w:link w:val="4"/>
    <w:autoRedefine/>
    <w:semiHidden/>
    <w:qFormat/>
    <w:uiPriority w:val="99"/>
    <w:rPr>
      <w:rFonts w:ascii="Calibri" w:hAnsi="Calibri" w:eastAsia="宋体" w:cs="Times New Roman"/>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745</Words>
  <Characters>4252</Characters>
  <Lines>35</Lines>
  <Paragraphs>9</Paragraphs>
  <TotalTime>0</TotalTime>
  <ScaleCrop>false</ScaleCrop>
  <LinksUpToDate>false</LinksUpToDate>
  <CharactersWithSpaces>4988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2024-07-30T12:23:00Z</dcterms:created>
  <dc:creator>honru Liang</dc:creator>
  <cp:lastModifiedBy>李娜</cp:lastModifiedBy>
  <dcterms:modified xsi:type="dcterms:W3CDTF">2024-07-31T00:49:22Z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1CB70B289B514C98A8FC281C2E8EB06E_12</vt:lpwstr>
  </property>
</Properties>
</file>