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outlineLvl w:val="2"/>
        <w:rPr>
          <w:rFonts w:hint="eastAsia" w:ascii="宋体" w:hAnsi="宋体" w:cs="宋体"/>
          <w:bCs/>
          <w:color w:val="auto"/>
          <w:sz w:val="24"/>
          <w:highlight w:val="none"/>
        </w:rPr>
      </w:pPr>
      <w:r>
        <w:rPr>
          <w:rStyle w:val="23"/>
          <w:rFonts w:hint="eastAsia" w:ascii="宋体" w:hAnsi="宋体" w:eastAsia="宋体" w:cs="宋体"/>
          <w:b/>
          <w:bCs w:val="0"/>
          <w:color w:val="auto"/>
          <w:highlight w:val="none"/>
        </w:rPr>
        <w:t>附件</w:t>
      </w:r>
      <w:r>
        <w:rPr>
          <w:rStyle w:val="23"/>
          <w:rFonts w:hint="eastAsia" w:ascii="宋体" w:hAnsi="宋体" w:cs="宋体"/>
          <w:b/>
          <w:bCs w:val="0"/>
          <w:color w:val="auto"/>
          <w:highlight w:val="none"/>
          <w:lang w:val="en-US" w:eastAsia="zh-CN"/>
        </w:rPr>
        <w:t>1</w:t>
      </w:r>
      <w:r>
        <w:rPr>
          <w:rStyle w:val="23"/>
          <w:rFonts w:hint="eastAsia" w:ascii="宋体" w:hAnsi="宋体" w:eastAsia="宋体" w:cs="宋体"/>
          <w:b/>
          <w:bCs w:val="0"/>
          <w:color w:val="auto"/>
          <w:highlight w:val="none"/>
        </w:rPr>
        <w:t>：</w:t>
      </w:r>
      <w:r>
        <w:rPr>
          <w:rFonts w:hint="eastAsia" w:ascii="宋体" w:hAnsi="宋体" w:cs="宋体"/>
          <w:b/>
          <w:bCs w:val="0"/>
          <w:color w:val="auto"/>
          <w:sz w:val="24"/>
          <w:highlight w:val="none"/>
        </w:rPr>
        <w:t>资格审查条件</w:t>
      </w:r>
    </w:p>
    <w:p>
      <w:pPr>
        <w:jc w:val="center"/>
        <w:rPr>
          <w:rStyle w:val="23"/>
          <w:rFonts w:hint="eastAsia" w:ascii="宋体" w:hAnsi="宋体" w:eastAsia="宋体" w:cs="宋体"/>
          <w:bCs/>
          <w:color w:val="auto"/>
          <w:highlight w:val="none"/>
        </w:rPr>
      </w:pPr>
    </w:p>
    <w:p>
      <w:pPr>
        <w:jc w:val="center"/>
        <w:rPr>
          <w:rStyle w:val="23"/>
          <w:rFonts w:hint="eastAsia" w:ascii="宋体" w:hAnsi="宋体" w:eastAsia="宋体" w:cs="宋体"/>
          <w:bCs/>
          <w:color w:val="auto"/>
          <w:highlight w:val="none"/>
        </w:rPr>
      </w:pPr>
      <w:r>
        <w:rPr>
          <w:rStyle w:val="23"/>
          <w:rFonts w:hint="eastAsia" w:ascii="宋体" w:hAnsi="宋体" w:eastAsia="宋体" w:cs="宋体"/>
          <w:bCs/>
          <w:color w:val="auto"/>
          <w:highlight w:val="none"/>
        </w:rPr>
        <w:t>附录1  资格审查条件（资质最低条件）</w:t>
      </w:r>
    </w:p>
    <w:tbl>
      <w:tblPr>
        <w:tblStyle w:val="17"/>
        <w:tblW w:w="919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169"/>
        <w:gridCol w:w="803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1169"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标段</w:t>
            </w:r>
          </w:p>
        </w:tc>
        <w:tc>
          <w:tcPr>
            <w:tcW w:w="803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s="宋体"/>
                <w:bCs/>
                <w:color w:val="auto"/>
                <w:szCs w:val="21"/>
                <w:highlight w:val="none"/>
              </w:rPr>
            </w:pPr>
            <w:r>
              <w:rPr>
                <w:rFonts w:hint="eastAsia" w:ascii="宋体" w:hAnsi="宋体" w:cs="宋体"/>
                <w:bCs/>
                <w:color w:val="auto"/>
                <w:szCs w:val="21"/>
                <w:highlight w:val="none"/>
              </w:rPr>
              <w:t>资质要求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16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8030" w:type="dxa"/>
            <w:tcBorders>
              <w:top w:val="single" w:color="auto" w:sz="2" w:space="0"/>
              <w:left w:val="single" w:color="auto" w:sz="2" w:space="0"/>
              <w:bottom w:val="single" w:color="auto" w:sz="2" w:space="0"/>
              <w:right w:val="single" w:color="auto" w:sz="2" w:space="0"/>
            </w:tcBorders>
            <w:noWrap w:val="0"/>
            <w:vAlign w:val="center"/>
          </w:tcPr>
          <w:p>
            <w:pPr>
              <w:spacing w:line="340" w:lineRule="exact"/>
              <w:ind w:firstLine="420" w:firstLineChars="200"/>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券商类投标人在中华人民共和国境内注册的独立法人或其他组织，投标人应为全国银行间市场交易商协会A类承销商（在全国范围内可开展债务融资工具承销工作）。</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169"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c>
          <w:tcPr>
            <w:tcW w:w="8030" w:type="dxa"/>
            <w:tcBorders>
              <w:top w:val="single" w:color="auto" w:sz="2" w:space="0"/>
              <w:left w:val="single" w:color="auto" w:sz="2" w:space="0"/>
              <w:bottom w:val="single" w:color="auto" w:sz="2" w:space="0"/>
              <w:right w:val="single" w:color="auto" w:sz="2" w:space="0"/>
            </w:tcBorders>
            <w:noWrap w:val="0"/>
            <w:vAlign w:val="center"/>
          </w:tcPr>
          <w:p>
            <w:pPr>
              <w:spacing w:line="340" w:lineRule="exact"/>
              <w:ind w:firstLine="42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银行类投标人在中华人民共和国境内注册的独立法人或其他组织，投标人应为市级及以上银行分行机构或总行，银行总行为全国银行间市场交易商协会A类承销商。</w:t>
            </w:r>
          </w:p>
        </w:tc>
      </w:tr>
    </w:tbl>
    <w:p>
      <w:pPr>
        <w:jc w:val="center"/>
        <w:rPr>
          <w:rStyle w:val="23"/>
          <w:rFonts w:hint="eastAsia" w:ascii="宋体" w:hAnsi="宋体" w:eastAsia="宋体" w:cs="宋体"/>
          <w:bCs/>
          <w:color w:val="auto"/>
          <w:highlight w:val="none"/>
        </w:rPr>
      </w:pPr>
    </w:p>
    <w:p>
      <w:pPr>
        <w:jc w:val="center"/>
        <w:rPr>
          <w:rFonts w:hint="eastAsia" w:ascii="宋体" w:hAnsi="宋体" w:cs="宋体"/>
          <w:bCs/>
          <w:color w:val="auto"/>
          <w:sz w:val="18"/>
          <w:szCs w:val="18"/>
          <w:highlight w:val="none"/>
        </w:rPr>
      </w:pPr>
      <w:r>
        <w:rPr>
          <w:rStyle w:val="23"/>
          <w:rFonts w:hint="eastAsia" w:ascii="宋体" w:hAnsi="宋体" w:eastAsia="宋体" w:cs="宋体"/>
          <w:bCs/>
          <w:color w:val="auto"/>
          <w:highlight w:val="none"/>
        </w:rPr>
        <w:t>附录</w:t>
      </w:r>
      <w:r>
        <w:rPr>
          <w:rStyle w:val="23"/>
          <w:rFonts w:hint="eastAsia" w:ascii="宋体" w:hAnsi="宋体" w:cs="宋体"/>
          <w:bCs/>
          <w:color w:val="auto"/>
          <w:highlight w:val="none"/>
          <w:lang w:val="en-US" w:eastAsia="zh-CN"/>
        </w:rPr>
        <w:t>2</w:t>
      </w:r>
      <w:r>
        <w:rPr>
          <w:rStyle w:val="23"/>
          <w:rFonts w:hint="eastAsia" w:ascii="宋体" w:hAnsi="宋体" w:eastAsia="宋体" w:cs="宋体"/>
          <w:bCs/>
          <w:color w:val="auto"/>
          <w:highlight w:val="none"/>
        </w:rPr>
        <w:t xml:space="preserve">  资格审查条件（信誉最低要求）</w:t>
      </w:r>
    </w:p>
    <w:tbl>
      <w:tblPr>
        <w:tblStyle w:val="17"/>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099" w:type="dxa"/>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099" w:type="dxa"/>
            <w:noWrap w:val="0"/>
            <w:vAlign w:val="center"/>
          </w:tcPr>
          <w:p>
            <w:pPr>
              <w:spacing w:line="340" w:lineRule="exact"/>
              <w:ind w:firstLine="420" w:firstLineChars="200"/>
              <w:rPr>
                <w:rFonts w:hint="eastAsia" w:ascii="宋体" w:hAnsi="宋体" w:cs="宋体"/>
                <w:color w:val="auto"/>
                <w:sz w:val="24"/>
                <w:highlight w:val="none"/>
              </w:rPr>
            </w:pPr>
            <w:r>
              <w:rPr>
                <w:rFonts w:hint="eastAsia" w:ascii="宋体" w:hAnsi="宋体" w:cs="宋体"/>
                <w:bCs/>
                <w:color w:val="auto"/>
                <w:highlight w:val="none"/>
              </w:rPr>
              <w:t>1.在国家企业信用信息公示系统（http://www.gsxt.gov.cn/)中、“信用中国”网站中未被列入严重违法失信企业名单、失信被执行人名单、经营异常名录、重大税收违法案件当事人名单、</w:t>
            </w:r>
            <w:r>
              <w:rPr>
                <w:rFonts w:hint="eastAsia" w:ascii="宋体" w:hAnsi="宋体" w:cs="宋体"/>
                <w:bCs/>
                <w:color w:val="auto"/>
                <w:highlight w:val="none"/>
                <w:lang w:eastAsia="zh-CN"/>
              </w:rPr>
              <w:t>政府采购严重违法失信行为记录名单</w:t>
            </w:r>
            <w:r>
              <w:rPr>
                <w:rFonts w:hint="eastAsia" w:ascii="宋体" w:hAnsi="宋体" w:cs="宋体"/>
                <w:bCs/>
                <w:color w:val="auto"/>
                <w:highlight w:val="none"/>
              </w:rPr>
              <w:t>。</w:t>
            </w:r>
          </w:p>
          <w:p>
            <w:pPr>
              <w:spacing w:line="34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2.投标人未被各级监管部门及行业自律组织处以暂停业务资格或停业整顿6个月及以上处罚的（提供承诺，格式自拟）。</w:t>
            </w:r>
          </w:p>
        </w:tc>
      </w:tr>
    </w:tbl>
    <w:p>
      <w:pPr>
        <w:rPr>
          <w:rStyle w:val="23"/>
          <w:rFonts w:hint="eastAsia" w:ascii="宋体" w:hAnsi="宋体" w:eastAsia="宋体" w:cs="宋体"/>
          <w:bCs/>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4"/>
          <w:highlight w:val="none"/>
          <w:lang w:val="en-US" w:eastAsia="zh-CN"/>
        </w:rPr>
      </w:pPr>
      <w:r>
        <w:rPr>
          <w:rFonts w:hint="eastAsia" w:ascii="宋体" w:hAnsi="宋体" w:cs="宋体"/>
          <w:color w:val="auto"/>
          <w:sz w:val="24"/>
          <w:highlight w:val="none"/>
        </w:rPr>
        <w:br w:type="page"/>
      </w:r>
      <w:r>
        <w:rPr>
          <w:rStyle w:val="23"/>
          <w:rFonts w:hint="eastAsia" w:ascii="宋体" w:hAnsi="宋体" w:eastAsia="宋体" w:cs="宋体"/>
          <w:b/>
          <w:bCs w:val="0"/>
          <w:color w:val="auto"/>
          <w:highlight w:val="none"/>
        </w:rPr>
        <w:t>附件</w:t>
      </w:r>
      <w:r>
        <w:rPr>
          <w:rStyle w:val="23"/>
          <w:rFonts w:hint="eastAsia" w:ascii="宋体" w:hAnsi="宋体" w:cs="宋体"/>
          <w:b/>
          <w:bCs w:val="0"/>
          <w:color w:val="auto"/>
          <w:highlight w:val="none"/>
          <w:lang w:val="en-US" w:eastAsia="zh-CN"/>
        </w:rPr>
        <w:t>2</w:t>
      </w:r>
      <w:r>
        <w:rPr>
          <w:rStyle w:val="23"/>
          <w:rFonts w:hint="eastAsia" w:ascii="宋体" w:hAnsi="宋体" w:eastAsia="宋体" w:cs="宋体"/>
          <w:b/>
          <w:bCs w:val="0"/>
          <w:color w:val="auto"/>
          <w:highlight w:val="none"/>
        </w:rPr>
        <w:t>：</w:t>
      </w:r>
      <w:r>
        <w:rPr>
          <w:rFonts w:hint="eastAsia" w:ascii="宋体" w:hAnsi="宋体" w:eastAsia="宋体" w:cs="宋体"/>
          <w:b/>
          <w:bCs w:val="0"/>
          <w:color w:val="auto"/>
          <w:sz w:val="24"/>
          <w:highlight w:val="none"/>
          <w:lang w:val="en-US" w:eastAsia="zh-CN"/>
        </w:rPr>
        <w:t>评标办法</w:t>
      </w:r>
    </w:p>
    <w:p>
      <w:pPr>
        <w:pStyle w:val="5"/>
        <w:snapToGrid w:val="0"/>
        <w:spacing w:before="120" w:after="120" w:line="240" w:lineRule="auto"/>
        <w:rPr>
          <w:color w:val="auto"/>
          <w:sz w:val="24"/>
          <w:szCs w:val="24"/>
          <w:highlight w:val="none"/>
        </w:rPr>
      </w:pPr>
      <w:bookmarkStart w:id="0" w:name="_Toc146320979"/>
      <w:bookmarkStart w:id="1" w:name="_Toc65857110"/>
      <w:bookmarkStart w:id="2" w:name="_Toc66337244"/>
      <w:bookmarkStart w:id="3" w:name="_Toc138793770"/>
      <w:bookmarkStart w:id="4" w:name="_Toc66984522"/>
      <w:bookmarkStart w:id="5" w:name="_Toc141783238"/>
      <w:bookmarkStart w:id="6" w:name="_Toc65820978"/>
      <w:bookmarkStart w:id="7" w:name="_Toc146029312"/>
      <w:r>
        <w:rPr>
          <w:rFonts w:hint="eastAsia"/>
          <w:color w:val="auto"/>
          <w:sz w:val="24"/>
          <w:szCs w:val="24"/>
          <w:highlight w:val="none"/>
        </w:rPr>
        <w:t>评标办法前附表</w:t>
      </w:r>
      <w:bookmarkEnd w:id="0"/>
      <w:bookmarkEnd w:id="1"/>
      <w:bookmarkEnd w:id="2"/>
      <w:bookmarkEnd w:id="3"/>
      <w:bookmarkEnd w:id="4"/>
      <w:bookmarkEnd w:id="5"/>
      <w:bookmarkEnd w:id="6"/>
      <w:bookmarkEnd w:id="7"/>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63"/>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18" w:type="dxa"/>
            <w:noWrap w:val="0"/>
            <w:vAlign w:val="center"/>
          </w:tcPr>
          <w:p>
            <w:pPr>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463" w:type="dxa"/>
            <w:noWrap w:val="0"/>
            <w:vAlign w:val="center"/>
          </w:tcPr>
          <w:p>
            <w:pPr>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7183" w:type="dxa"/>
            <w:noWrap w:val="0"/>
            <w:vAlign w:val="center"/>
          </w:tcPr>
          <w:p>
            <w:pPr>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因素与</w:t>
            </w:r>
            <w:r>
              <w:rPr>
                <w:rFonts w:hint="eastAsia" w:ascii="宋体" w:hAnsi="宋体" w:eastAsia="宋体" w:cs="宋体"/>
                <w:color w:val="auto"/>
                <w:szCs w:val="21"/>
                <w:highlight w:val="none"/>
                <w:lang w:val="en-US" w:eastAsia="zh-CN"/>
              </w:rPr>
              <w:t>评审</w:t>
            </w:r>
            <w:r>
              <w:rPr>
                <w:rFonts w:hint="eastAsia" w:ascii="宋体" w:hAnsi="宋体" w:eastAsia="宋体" w:cs="宋体"/>
                <w:color w:val="auto"/>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18" w:type="dxa"/>
            <w:noWrap w:val="0"/>
            <w:vAlign w:val="center"/>
          </w:tcPr>
          <w:p>
            <w:pPr>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63" w:type="dxa"/>
            <w:noWrap w:val="0"/>
            <w:vAlign w:val="center"/>
          </w:tcPr>
          <w:p>
            <w:pPr>
              <w:spacing w:line="264"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评标办法</w:t>
            </w:r>
          </w:p>
        </w:tc>
        <w:tc>
          <w:tcPr>
            <w:tcW w:w="7183" w:type="dxa"/>
            <w:noWrap w:val="0"/>
            <w:vAlign w:val="center"/>
          </w:tcPr>
          <w:p>
            <w:pPr>
              <w:ind w:firstLine="315" w:firstLineChars="150"/>
              <w:jc w:val="left"/>
              <w:rPr>
                <w:rFonts w:hint="default"/>
                <w:highlight w:val="none"/>
                <w:lang w:val="en-US" w:eastAsia="zh-CN"/>
              </w:rPr>
            </w:pPr>
            <w:r>
              <w:rPr>
                <w:rFonts w:hint="eastAsia"/>
                <w:highlight w:val="none"/>
              </w:rPr>
              <w:t>本次</w:t>
            </w:r>
            <w:r>
              <w:rPr>
                <w:rFonts w:hint="eastAsia"/>
                <w:highlight w:val="none"/>
                <w:lang w:eastAsia="zh-CN"/>
              </w:rPr>
              <w:t>评标</w:t>
            </w:r>
            <w:r>
              <w:rPr>
                <w:rFonts w:hint="eastAsia"/>
                <w:highlight w:val="none"/>
              </w:rPr>
              <w:t>采用综合评估法。</w:t>
            </w:r>
            <w:r>
              <w:rPr>
                <w:rFonts w:hint="eastAsia"/>
                <w:highlight w:val="none"/>
                <w:lang w:eastAsia="zh-CN"/>
              </w:rPr>
              <w:t>评标</w:t>
            </w:r>
            <w:r>
              <w:rPr>
                <w:rFonts w:hint="eastAsia"/>
                <w:highlight w:val="none"/>
              </w:rPr>
              <w:t>委员会对满足招标文件实质性要求的投标文件，按照本章第2.2款规定的评分标准进行打分，并按得分由高到低顺序</w:t>
            </w:r>
            <w:r>
              <w:rPr>
                <w:rFonts w:hint="eastAsia"/>
                <w:highlight w:val="none"/>
                <w:lang w:eastAsia="zh-CN"/>
              </w:rPr>
              <w:t>，</w:t>
            </w:r>
            <w:r>
              <w:rPr>
                <w:rFonts w:hint="eastAsia"/>
                <w:highlight w:val="none"/>
                <w:lang w:val="en-US" w:eastAsia="zh-CN"/>
              </w:rPr>
              <w:t>一标段推</w:t>
            </w:r>
            <w:r>
              <w:rPr>
                <w:rFonts w:hint="eastAsia"/>
                <w:highlight w:val="none"/>
              </w:rPr>
              <w:t>荐</w:t>
            </w:r>
            <w:r>
              <w:rPr>
                <w:rFonts w:hint="eastAsia"/>
                <w:highlight w:val="none"/>
                <w:lang w:val="en-US" w:eastAsia="zh-CN"/>
              </w:rPr>
              <w:t>5名</w:t>
            </w:r>
            <w:r>
              <w:rPr>
                <w:rFonts w:hint="eastAsia"/>
                <w:highlight w:val="none"/>
              </w:rPr>
              <w:t>候选人</w:t>
            </w:r>
            <w:r>
              <w:rPr>
                <w:rFonts w:hint="eastAsia"/>
                <w:highlight w:val="none"/>
                <w:lang w:eastAsia="zh-CN"/>
              </w:rPr>
              <w:t>，</w:t>
            </w:r>
            <w:r>
              <w:rPr>
                <w:rFonts w:hint="eastAsia"/>
                <w:highlight w:val="none"/>
                <w:lang w:val="en-US" w:eastAsia="zh-CN"/>
              </w:rPr>
              <w:t>二标段推荐10名候选人</w:t>
            </w:r>
            <w:r>
              <w:rPr>
                <w:rFonts w:hint="eastAsia"/>
                <w:highlight w:val="none"/>
              </w:rPr>
              <w:t>。</w:t>
            </w:r>
          </w:p>
          <w:p>
            <w:pPr>
              <w:ind w:firstLine="315" w:firstLineChars="150"/>
              <w:jc w:val="left"/>
              <w:rPr>
                <w:rFonts w:hint="eastAsia"/>
                <w:highlight w:val="none"/>
              </w:rPr>
            </w:pPr>
            <w:r>
              <w:rPr>
                <w:rFonts w:hint="eastAsia"/>
                <w:highlight w:val="none"/>
              </w:rPr>
              <w:t>综合评分相等时，</w:t>
            </w:r>
            <w:r>
              <w:rPr>
                <w:rFonts w:hint="eastAsia"/>
                <w:highlight w:val="none"/>
                <w:lang w:eastAsia="zh-CN"/>
              </w:rPr>
              <w:t>评标</w:t>
            </w:r>
            <w:r>
              <w:rPr>
                <w:rFonts w:hint="eastAsia"/>
                <w:highlight w:val="none"/>
              </w:rPr>
              <w:t>委员会依次按照以下优先顺序推荐候选人：</w:t>
            </w:r>
          </w:p>
          <w:p>
            <w:pPr>
              <w:ind w:firstLine="315" w:firstLineChars="150"/>
              <w:jc w:val="left"/>
              <w:rPr>
                <w:rFonts w:hint="eastAsia"/>
                <w:highlight w:val="none"/>
              </w:rPr>
            </w:pPr>
            <w:r>
              <w:rPr>
                <w:rFonts w:hint="eastAsia"/>
                <w:highlight w:val="none"/>
              </w:rPr>
              <w:t>（1）</w:t>
            </w:r>
            <w:r>
              <w:rPr>
                <w:rFonts w:hint="eastAsia"/>
                <w:highlight w:val="none"/>
                <w:lang w:eastAsia="zh-CN"/>
              </w:rPr>
              <w:t>评标价</w:t>
            </w:r>
            <w:r>
              <w:rPr>
                <w:rFonts w:hint="eastAsia"/>
                <w:highlight w:val="none"/>
              </w:rPr>
              <w:t>低的投标人优先；</w:t>
            </w:r>
          </w:p>
          <w:p>
            <w:pPr>
              <w:ind w:firstLine="315" w:firstLineChars="150"/>
              <w:jc w:val="left"/>
              <w:rPr>
                <w:rFonts w:hint="eastAsia"/>
                <w:highlight w:val="none"/>
              </w:rPr>
            </w:pPr>
            <w:r>
              <w:rPr>
                <w:rFonts w:hint="eastAsia"/>
                <w:highlight w:val="none"/>
              </w:rPr>
              <w:t>（2）商务部分得分较</w:t>
            </w:r>
            <w:r>
              <w:rPr>
                <w:rFonts w:hint="eastAsia"/>
                <w:highlight w:val="none"/>
                <w:lang w:val="en-US" w:eastAsia="zh-CN"/>
              </w:rPr>
              <w:t>高</w:t>
            </w:r>
            <w:r>
              <w:rPr>
                <w:rFonts w:hint="eastAsia"/>
                <w:highlight w:val="none"/>
              </w:rPr>
              <w:t>的优先；</w:t>
            </w:r>
          </w:p>
          <w:p>
            <w:pPr>
              <w:ind w:firstLine="315" w:firstLineChars="150"/>
              <w:jc w:val="left"/>
              <w:rPr>
                <w:rFonts w:hint="eastAsia"/>
                <w:highlight w:val="none"/>
              </w:rPr>
            </w:pPr>
            <w:r>
              <w:rPr>
                <w:rFonts w:hint="eastAsia"/>
                <w:highlight w:val="none"/>
              </w:rPr>
              <w:t>（3）</w:t>
            </w:r>
            <w:r>
              <w:rPr>
                <w:rFonts w:hint="eastAsia"/>
                <w:highlight w:val="none"/>
                <w:lang w:eastAsia="zh-CN"/>
              </w:rPr>
              <w:t>评标</w:t>
            </w:r>
            <w:r>
              <w:rPr>
                <w:rFonts w:hint="eastAsia"/>
                <w:highlight w:val="none"/>
              </w:rPr>
              <w:t>委员会综合考量，投票决定优先顺序。</w:t>
            </w:r>
          </w:p>
          <w:p>
            <w:pPr>
              <w:ind w:firstLine="315" w:firstLineChars="150"/>
              <w:jc w:val="left"/>
              <w:rPr>
                <w:rFonts w:hint="eastAsia" w:ascii="宋体" w:hAnsi="宋体" w:eastAsia="宋体" w:cs="宋体"/>
                <w:color w:val="auto"/>
                <w:szCs w:val="21"/>
                <w:highlight w:val="none"/>
              </w:rPr>
            </w:pPr>
            <w:r>
              <w:rPr>
                <w:rFonts w:hint="eastAsia" w:ascii="Times New Roman" w:hAnsi="Times New Roman" w:eastAsia="宋体" w:cs="Times New Roman"/>
                <w:kern w:val="2"/>
                <w:sz w:val="21"/>
                <w:szCs w:val="24"/>
                <w:highlight w:val="none"/>
                <w:lang w:val="en-US" w:eastAsia="zh-CN" w:bidi="ar-SA"/>
              </w:rPr>
              <w:t>若实际参与招标并通过资格评审的投标人少于或等于须知前附表6.3.2评标委员会推荐候选人的人数，则评标委员会不再进行打分，全部推荐为候选人。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noWrap w:val="0"/>
            <w:vAlign w:val="center"/>
          </w:tcPr>
          <w:p>
            <w:pPr>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p>
            <w:pPr>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463" w:type="dxa"/>
            <w:noWrap w:val="0"/>
            <w:vAlign w:val="center"/>
          </w:tcPr>
          <w:p>
            <w:pPr>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形式评审与响应性评审标准</w:t>
            </w:r>
          </w:p>
        </w:tc>
        <w:tc>
          <w:tcPr>
            <w:tcW w:w="7183" w:type="dxa"/>
            <w:noWrap w:val="0"/>
            <w:vAlign w:val="center"/>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第一个信封（商务</w:t>
            </w:r>
            <w:r>
              <w:rPr>
                <w:rFonts w:hint="eastAsia" w:ascii="宋体" w:hAnsi="宋体" w:eastAsia="宋体" w:cs="宋体"/>
                <w:color w:val="auto"/>
                <w:highlight w:val="none"/>
                <w:lang w:val="en-US" w:eastAsia="zh-CN"/>
              </w:rPr>
              <w:t>和技术</w:t>
            </w:r>
            <w:r>
              <w:rPr>
                <w:rFonts w:hint="eastAsia" w:ascii="宋体" w:hAnsi="宋体" w:eastAsia="宋体" w:cs="宋体"/>
                <w:color w:val="auto"/>
                <w:highlight w:val="none"/>
              </w:rPr>
              <w:t>文件）评审标准：</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（1）投标文件按照招标文件规定的格式、内容填写，字迹清晰可辨：</w:t>
            </w:r>
          </w:p>
          <w:p>
            <w:pPr>
              <w:keepNext w:val="0"/>
              <w:keepLines w:val="0"/>
              <w:pageBreakBefore w:val="0"/>
              <w:widowControl w:val="0"/>
              <w:tabs>
                <w:tab w:val="left" w:pos="3060"/>
              </w:tabs>
              <w:kinsoku/>
              <w:wordWrap/>
              <w:overflowPunct/>
              <w:topLinePunct w:val="0"/>
              <w:bidi w:val="0"/>
              <w:snapToGrid w:val="0"/>
              <w:spacing w:line="3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a．投标函按招标文件规定填报了招标人名称、项目名称、</w:t>
            </w:r>
            <w:r>
              <w:rPr>
                <w:rFonts w:hint="eastAsia" w:ascii="宋体" w:hAnsi="宋体" w:eastAsia="宋体" w:cs="宋体"/>
                <w:color w:val="auto"/>
                <w:highlight w:val="none"/>
                <w:lang w:val="en-US" w:eastAsia="zh-CN"/>
              </w:rPr>
              <w:t>标段、</w:t>
            </w:r>
            <w:r>
              <w:rPr>
                <w:rFonts w:hint="eastAsia" w:ascii="宋体" w:hAnsi="宋体" w:eastAsia="宋体" w:cs="宋体"/>
                <w:color w:val="auto"/>
                <w:highlight w:val="none"/>
              </w:rPr>
              <w:t>补遗书编号（如有）、服务</w:t>
            </w:r>
            <w:r>
              <w:rPr>
                <w:rFonts w:hint="eastAsia" w:ascii="宋体" w:hAnsi="宋体" w:eastAsia="宋体" w:cs="宋体"/>
                <w:color w:val="auto"/>
                <w:highlight w:val="none"/>
                <w:lang w:val="en-US" w:eastAsia="zh-CN"/>
              </w:rPr>
              <w:t>周期</w:t>
            </w:r>
            <w:r>
              <w:rPr>
                <w:rFonts w:hint="eastAsia" w:ascii="宋体" w:hAnsi="宋体" w:eastAsia="宋体" w:cs="宋体"/>
                <w:color w:val="auto"/>
                <w:highlight w:val="none"/>
              </w:rPr>
              <w:t>等内容；</w:t>
            </w:r>
          </w:p>
          <w:p>
            <w:pPr>
              <w:keepNext w:val="0"/>
              <w:keepLines w:val="0"/>
              <w:pageBreakBefore w:val="0"/>
              <w:widowControl w:val="0"/>
              <w:tabs>
                <w:tab w:val="left" w:pos="3060"/>
              </w:tabs>
              <w:kinsoku/>
              <w:wordWrap/>
              <w:overflowPunct/>
              <w:topLinePunct w:val="0"/>
              <w:bidi w:val="0"/>
              <w:snapToGrid w:val="0"/>
              <w:spacing w:line="3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投标人法定代表人授权委托代理人签署投标文件的，须提交授权委托书，授权委托书的签字盖章符合招标文件规定</w:t>
            </w:r>
            <w:r>
              <w:rPr>
                <w:rFonts w:hint="eastAsia" w:ascii="宋体" w:hAnsi="宋体" w:eastAsia="宋体" w:cs="宋体"/>
                <w:color w:val="auto"/>
                <w:highlight w:val="none"/>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cs="宋体"/>
                <w:color w:val="auto"/>
                <w:sz w:val="21"/>
                <w:szCs w:val="21"/>
                <w:highlight w:val="none"/>
              </w:rPr>
              <w:t>投标人法定代表人亲自签署投标文件的，提供了法定代表人身份证明,法定代表人身份证明的签字盖章符合招标文件规定</w:t>
            </w:r>
            <w:r>
              <w:rPr>
                <w:rFonts w:hint="eastAsia" w:ascii="宋体" w:hAnsi="宋体" w:eastAsia="宋体" w:cs="宋体"/>
                <w:color w:val="auto"/>
                <w:highlight w:val="none"/>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5</w:t>
            </w:r>
            <w:r>
              <w:rPr>
                <w:rFonts w:hint="eastAsia" w:ascii="宋体" w:hAnsi="宋体" w:eastAsia="宋体" w:cs="宋体"/>
                <w:color w:val="auto"/>
                <w:highlight w:val="none"/>
              </w:rPr>
              <w:t>）投标人未以联合体形式投标。</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w:t>
            </w:r>
            <w:r>
              <w:rPr>
                <w:rFonts w:hint="eastAsia" w:ascii="宋体" w:hAnsi="宋体" w:eastAsia="宋体" w:cs="宋体"/>
                <w:color w:val="auto"/>
                <w:highlight w:val="none"/>
              </w:rPr>
              <w:t>）投标人未对本项目提出分包计划。</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（7）投标人未提交两个以上不同的投标文件或备选方案。</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（8）投标文件中未出现有关投标报价的内容。</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（9）投标文件载明的招标项目完成期限未超过招标文件规定的</w:t>
            </w:r>
            <w:r>
              <w:rPr>
                <w:rFonts w:hint="eastAsia" w:ascii="宋体" w:hAnsi="宋体" w:eastAsia="宋体" w:cs="宋体"/>
                <w:color w:val="auto"/>
                <w:highlight w:val="none"/>
                <w:lang w:val="en-US" w:eastAsia="zh-CN"/>
              </w:rPr>
              <w:t>服务周期</w:t>
            </w:r>
            <w:r>
              <w:rPr>
                <w:rFonts w:hint="eastAsia" w:ascii="宋体" w:hAnsi="宋体" w:eastAsia="宋体" w:cs="宋体"/>
                <w:color w:val="auto"/>
                <w:highlight w:val="none"/>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（10）投标文件对招标文件的实质性要求和条件作出响应。</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（11）递交的投标文件与所投标段一致</w:t>
            </w:r>
            <w:r>
              <w:rPr>
                <w:rFonts w:hint="eastAsia" w:ascii="宋体" w:hAnsi="宋体" w:eastAsia="宋体" w:cs="宋体"/>
                <w:color w:val="auto"/>
                <w:highlight w:val="none"/>
                <w:lang w:eastAsia="zh-CN"/>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）权利义务符合招标文件规定：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a.投标人应接受招标文件规定的风险划分原则，未提出新的风险划分办法；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b.投标人未增加发包人的责任范围，或减少投标人义务；</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c.投标人未提出不同的支付办法；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d.投标人对合同纠纷、事故处理办法未提出异议；</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e.投标人在投标活动中无欺诈行为；</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f.投标人未对合同条款有重要保留。</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第二个信封（报价文件）评审标准：</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（1）投标文件按照招标文件规定的格式、内容填写，字迹清晰可辨，内容齐全完整：</w:t>
            </w:r>
          </w:p>
          <w:p>
            <w:pPr>
              <w:keepNext w:val="0"/>
              <w:keepLines w:val="0"/>
              <w:pageBreakBefore w:val="0"/>
              <w:widowControl w:val="0"/>
              <w:tabs>
                <w:tab w:val="left" w:pos="3060"/>
              </w:tabs>
              <w:kinsoku/>
              <w:wordWrap/>
              <w:overflowPunct/>
              <w:topLinePunct w:val="0"/>
              <w:bidi w:val="0"/>
              <w:snapToGrid w:val="0"/>
              <w:spacing w:line="3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a．投标函按招标文件规定填报了招标人名称、项目名称、</w:t>
            </w:r>
            <w:r>
              <w:rPr>
                <w:rFonts w:hint="eastAsia" w:ascii="宋体" w:hAnsi="宋体" w:eastAsia="宋体" w:cs="宋体"/>
                <w:color w:val="auto"/>
                <w:highlight w:val="none"/>
                <w:lang w:val="en-US" w:eastAsia="zh-CN"/>
              </w:rPr>
              <w:t>标段、</w:t>
            </w:r>
            <w:r>
              <w:rPr>
                <w:rFonts w:hint="eastAsia" w:ascii="宋体" w:hAnsi="宋体" w:eastAsia="宋体" w:cs="宋体"/>
                <w:color w:val="auto"/>
                <w:highlight w:val="none"/>
              </w:rPr>
              <w:t>补遗书编号（如有）、投标报价；</w:t>
            </w:r>
          </w:p>
          <w:p>
            <w:pPr>
              <w:keepNext w:val="0"/>
              <w:keepLines w:val="0"/>
              <w:pageBreakBefore w:val="0"/>
              <w:widowControl w:val="0"/>
              <w:tabs>
                <w:tab w:val="left" w:pos="3060"/>
              </w:tabs>
              <w:kinsoku/>
              <w:wordWrap/>
              <w:overflowPunct/>
              <w:topLinePunct w:val="0"/>
              <w:bidi w:val="0"/>
              <w:snapToGrid w:val="0"/>
              <w:spacing w:line="3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（3）投标报价未超过招标文件设定的最高投标限价。</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color w:val="auto"/>
                <w:highlight w:val="none"/>
              </w:rPr>
            </w:pPr>
            <w:r>
              <w:rPr>
                <w:rFonts w:hint="eastAsia" w:ascii="宋体" w:hAnsi="宋体" w:eastAsia="宋体" w:cs="宋体"/>
                <w:color w:val="auto"/>
                <w:highlight w:val="none"/>
              </w:rPr>
              <w:t>（4）投标报价能够确定具体数值。</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color w:val="auto"/>
                <w:highlight w:val="none"/>
              </w:rPr>
            </w:pPr>
            <w:r>
              <w:rPr>
                <w:rFonts w:hint="eastAsia" w:ascii="宋体" w:hAnsi="宋体" w:eastAsia="宋体" w:cs="宋体"/>
                <w:color w:val="auto"/>
                <w:highlight w:val="none"/>
              </w:rPr>
              <w:t>（5）投标人未提交两个以上不同的投标报价。</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color w:val="auto"/>
                <w:highlight w:val="none"/>
              </w:rPr>
            </w:pPr>
            <w:r>
              <w:rPr>
                <w:rFonts w:hint="eastAsia" w:ascii="宋体" w:hAnsi="宋体" w:eastAsia="宋体" w:cs="宋体"/>
                <w:color w:val="auto"/>
                <w:highlight w:val="none"/>
              </w:rPr>
              <w:t>（6）投标人未提交调价函。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noWrap w:val="0"/>
            <w:vAlign w:val="center"/>
          </w:tcPr>
          <w:p>
            <w:pPr>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1463" w:type="dxa"/>
            <w:noWrap w:val="0"/>
            <w:vAlign w:val="center"/>
          </w:tcPr>
          <w:p>
            <w:pPr>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7183" w:type="dxa"/>
            <w:noWrap w:val="0"/>
            <w:vAlign w:val="center"/>
          </w:tcPr>
          <w:p>
            <w:pPr>
              <w:tabs>
                <w:tab w:val="left" w:pos="3060"/>
              </w:tabs>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（1）投标人具备有效的营业执照副本和组织机构代码证副本（按照“三证合一”或“五证合一”登记制度进行登记的，可仅提供营业执照副本）、资</w:t>
            </w:r>
            <w:r>
              <w:rPr>
                <w:rFonts w:hint="eastAsia" w:ascii="宋体" w:hAnsi="宋体" w:eastAsia="宋体" w:cs="宋体"/>
                <w:color w:val="auto"/>
                <w:sz w:val="21"/>
                <w:szCs w:val="21"/>
                <w:highlight w:val="none"/>
                <w:lang w:val="en-US" w:eastAsia="zh-CN"/>
              </w:rPr>
              <w:t>格</w:t>
            </w:r>
            <w:r>
              <w:rPr>
                <w:rFonts w:hint="eastAsia" w:ascii="宋体" w:hAnsi="宋体" w:eastAsia="宋体" w:cs="宋体"/>
                <w:color w:val="auto"/>
                <w:sz w:val="21"/>
                <w:szCs w:val="21"/>
                <w:highlight w:val="none"/>
              </w:rPr>
              <w:t>证书和基本账户开户许可证（或基本存款账户信息）；</w:t>
            </w:r>
          </w:p>
          <w:p>
            <w:pPr>
              <w:tabs>
                <w:tab w:val="left" w:pos="3060"/>
              </w:tabs>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（2）投标人的资质等级符合招标文件规定；</w:t>
            </w:r>
          </w:p>
          <w:p>
            <w:pPr>
              <w:tabs>
                <w:tab w:val="left" w:pos="3060"/>
              </w:tabs>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）投标人的信誉符合招标文件规定；</w:t>
            </w:r>
          </w:p>
          <w:p>
            <w:pPr>
              <w:tabs>
                <w:tab w:val="left" w:pos="3060"/>
              </w:tabs>
              <w:spacing w:line="32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）投标人不存在第二章“投标人须知”1.4.3项或第1.4.4项规定的任何一种情形。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noWrap w:val="0"/>
            <w:vAlign w:val="center"/>
          </w:tcPr>
          <w:p>
            <w:pPr>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463" w:type="dxa"/>
            <w:noWrap w:val="0"/>
            <w:vAlign w:val="center"/>
          </w:tcPr>
          <w:p>
            <w:pPr>
              <w:spacing w:line="264" w:lineRule="auto"/>
              <w:ind w:leftChars="-51" w:hanging="107" w:hanging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p>
            <w:pPr>
              <w:spacing w:line="264" w:lineRule="auto"/>
              <w:ind w:leftChars="-51" w:right="-61" w:rightChars="-29" w:hanging="107" w:hanging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7183" w:type="dxa"/>
            <w:noWrap w:val="0"/>
            <w:vAlign w:val="center"/>
          </w:tcPr>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w:t>
            </w:r>
            <w:r>
              <w:rPr>
                <w:rFonts w:hint="eastAsia" w:ascii="宋体" w:hAnsi="宋体" w:eastAsia="宋体" w:cs="宋体"/>
                <w:b/>
                <w:color w:val="auto"/>
                <w:sz w:val="21"/>
                <w:szCs w:val="21"/>
                <w:highlight w:val="none"/>
                <w:lang w:val="en-US" w:eastAsia="zh-CN"/>
              </w:rPr>
              <w:t>服务方案文件</w:t>
            </w:r>
            <w:r>
              <w:rPr>
                <w:rFonts w:hint="eastAsia" w:ascii="宋体" w:hAnsi="宋体" w:eastAsia="宋体" w:cs="宋体"/>
                <w:b/>
                <w:color w:val="auto"/>
                <w:sz w:val="21"/>
                <w:szCs w:val="21"/>
                <w:highlight w:val="none"/>
              </w:rPr>
              <w:t>）评分分值构成：</w:t>
            </w:r>
          </w:p>
          <w:p>
            <w:pPr>
              <w:autoSpaceDE w:val="0"/>
              <w:autoSpaceDN w:val="0"/>
              <w:adjustRightInd w:val="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 xml:space="preserve">（1）商务部分  </w:t>
            </w:r>
            <w:r>
              <w:rPr>
                <w:rFonts w:hint="eastAsia" w:ascii="宋体" w:hAnsi="宋体" w:eastAsia="宋体" w:cs="宋体"/>
                <w:bCs/>
                <w:color w:val="auto"/>
                <w:kern w:val="0"/>
                <w:highlight w:val="none"/>
                <w:lang w:val="en-US" w:eastAsia="zh-CN"/>
              </w:rPr>
              <w:t xml:space="preserve">     </w:t>
            </w:r>
            <w:r>
              <w:rPr>
                <w:rFonts w:hint="eastAsia" w:ascii="宋体" w:hAnsi="宋体" w:cs="宋体"/>
                <w:bCs/>
                <w:color w:val="auto"/>
                <w:kern w:val="0"/>
                <w:highlight w:val="none"/>
                <w:lang w:val="en-US" w:eastAsia="zh-CN"/>
              </w:rPr>
              <w:t>3</w:t>
            </w:r>
            <w:r>
              <w:rPr>
                <w:rFonts w:hint="eastAsia" w:ascii="宋体" w:hAnsi="宋体" w:eastAsia="宋体" w:cs="宋体"/>
                <w:bCs/>
                <w:color w:val="auto"/>
                <w:kern w:val="0"/>
                <w:highlight w:val="none"/>
                <w:lang w:val="en-US" w:eastAsia="zh-CN"/>
              </w:rPr>
              <w:t>0</w:t>
            </w:r>
            <w:r>
              <w:rPr>
                <w:rFonts w:hint="eastAsia" w:ascii="宋体" w:hAnsi="宋体" w:eastAsia="宋体" w:cs="宋体"/>
                <w:bCs/>
                <w:color w:val="auto"/>
                <w:kern w:val="0"/>
                <w:highlight w:val="none"/>
              </w:rPr>
              <w:t>分</w:t>
            </w:r>
          </w:p>
          <w:p>
            <w:pPr>
              <w:autoSpaceDE w:val="0"/>
              <w:autoSpaceDN w:val="0"/>
              <w:adjustRightInd w:val="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 xml:space="preserve">（2）服务方案部分   </w:t>
            </w:r>
            <w:r>
              <w:rPr>
                <w:rFonts w:hint="eastAsia" w:ascii="宋体" w:hAnsi="宋体" w:eastAsia="宋体" w:cs="宋体"/>
                <w:bCs/>
                <w:color w:val="auto"/>
                <w:kern w:val="0"/>
                <w:highlight w:val="none"/>
                <w:lang w:val="en-US" w:eastAsia="zh-CN"/>
              </w:rPr>
              <w:t>40</w:t>
            </w:r>
            <w:r>
              <w:rPr>
                <w:rFonts w:hint="eastAsia" w:ascii="宋体" w:hAnsi="宋体" w:eastAsia="宋体" w:cs="宋体"/>
                <w:bCs/>
                <w:color w:val="auto"/>
                <w:kern w:val="0"/>
                <w:highlight w:val="none"/>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第二个信封（报价文件）评分分值构成：</w:t>
            </w:r>
          </w:p>
          <w:p>
            <w:pPr>
              <w:jc w:val="left"/>
              <w:rPr>
                <w:rFonts w:hint="eastAsia" w:ascii="宋体" w:hAnsi="宋体" w:eastAsia="宋体" w:cs="宋体"/>
                <w:color w:val="auto"/>
                <w:szCs w:val="21"/>
                <w:highlight w:val="none"/>
              </w:rPr>
            </w:pPr>
            <w:r>
              <w:rPr>
                <w:rFonts w:hint="eastAsia" w:ascii="宋体" w:hAnsi="宋体" w:eastAsia="宋体" w:cs="宋体"/>
                <w:bCs/>
                <w:color w:val="auto"/>
                <w:kern w:val="0"/>
                <w:highlight w:val="none"/>
              </w:rPr>
              <w:t>（</w:t>
            </w:r>
            <w:r>
              <w:rPr>
                <w:rFonts w:hint="eastAsia" w:ascii="宋体" w:hAnsi="宋体" w:eastAsia="宋体" w:cs="宋体"/>
                <w:bCs/>
                <w:color w:val="auto"/>
                <w:kern w:val="0"/>
                <w:highlight w:val="none"/>
                <w:lang w:val="en-US" w:eastAsia="zh-CN"/>
              </w:rPr>
              <w:t>1</w:t>
            </w:r>
            <w:r>
              <w:rPr>
                <w:rFonts w:hint="eastAsia" w:ascii="宋体" w:hAnsi="宋体" w:eastAsia="宋体" w:cs="宋体"/>
                <w:bCs/>
                <w:color w:val="auto"/>
                <w:kern w:val="0"/>
                <w:highlight w:val="none"/>
              </w:rPr>
              <w:t>）</w:t>
            </w:r>
            <w:r>
              <w:rPr>
                <w:rFonts w:hint="eastAsia" w:ascii="宋体" w:hAnsi="宋体" w:eastAsia="宋体" w:cs="宋体"/>
                <w:bCs/>
                <w:color w:val="auto"/>
                <w:kern w:val="0"/>
                <w:highlight w:val="none"/>
                <w:lang w:eastAsia="zh-CN"/>
              </w:rPr>
              <w:t>评标价</w:t>
            </w:r>
            <w:r>
              <w:rPr>
                <w:rFonts w:hint="eastAsia" w:ascii="宋体" w:hAnsi="宋体" w:eastAsia="宋体" w:cs="宋体"/>
                <w:bCs/>
                <w:color w:val="auto"/>
                <w:kern w:val="0"/>
                <w:highlight w:val="none"/>
              </w:rPr>
              <w:t xml:space="preserve">： </w:t>
            </w:r>
            <w:r>
              <w:rPr>
                <w:rFonts w:hint="eastAsia" w:ascii="宋体" w:hAnsi="宋体" w:eastAsia="宋体" w:cs="宋体"/>
                <w:bCs/>
                <w:color w:val="auto"/>
                <w:kern w:val="0"/>
                <w:highlight w:val="none"/>
                <w:lang w:val="en-US" w:eastAsia="zh-CN"/>
              </w:rPr>
              <w:t xml:space="preserve">    </w:t>
            </w:r>
            <w:r>
              <w:rPr>
                <w:rFonts w:hint="eastAsia" w:ascii="宋体" w:hAnsi="宋体" w:eastAsia="宋体" w:cs="宋体"/>
                <w:bCs/>
                <w:color w:val="auto"/>
                <w:kern w:val="0"/>
                <w:highlight w:val="none"/>
              </w:rPr>
              <w:t xml:space="preserve"> </w:t>
            </w:r>
            <w:r>
              <w:rPr>
                <w:rFonts w:hint="eastAsia" w:ascii="宋体" w:hAnsi="宋体" w:eastAsia="宋体" w:cs="宋体"/>
                <w:bCs/>
                <w:color w:val="auto"/>
                <w:kern w:val="0"/>
                <w:highlight w:val="none"/>
                <w:lang w:val="en-US" w:eastAsia="zh-CN"/>
              </w:rPr>
              <w:t xml:space="preserve"> </w:t>
            </w:r>
            <w:r>
              <w:rPr>
                <w:rFonts w:hint="eastAsia" w:ascii="宋体" w:hAnsi="宋体" w:cs="宋体"/>
                <w:bCs/>
                <w:color w:val="auto"/>
                <w:kern w:val="0"/>
                <w:highlight w:val="none"/>
                <w:lang w:val="en-US" w:eastAsia="zh-CN"/>
              </w:rPr>
              <w:t>3</w:t>
            </w:r>
            <w:r>
              <w:rPr>
                <w:rFonts w:hint="eastAsia" w:ascii="宋体" w:hAnsi="宋体" w:eastAsia="宋体" w:cs="宋体"/>
                <w:bCs/>
                <w:color w:val="auto"/>
                <w:kern w:val="0"/>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noWrap w:val="0"/>
            <w:vAlign w:val="center"/>
          </w:tcPr>
          <w:p>
            <w:pPr>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463" w:type="dxa"/>
            <w:noWrap w:val="0"/>
            <w:vAlign w:val="center"/>
          </w:tcPr>
          <w:p>
            <w:pPr>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评标基准价</w:t>
            </w:r>
            <w:r>
              <w:rPr>
                <w:rFonts w:hint="eastAsia" w:ascii="宋体" w:hAnsi="宋体" w:eastAsia="宋体" w:cs="宋体"/>
                <w:color w:val="auto"/>
                <w:szCs w:val="21"/>
                <w:highlight w:val="none"/>
              </w:rPr>
              <w:t>计算方法</w:t>
            </w:r>
          </w:p>
        </w:tc>
        <w:tc>
          <w:tcPr>
            <w:tcW w:w="7183" w:type="dxa"/>
            <w:noWrap w:val="0"/>
            <w:vAlign w:val="center"/>
          </w:tcPr>
          <w:p>
            <w:pPr>
              <w:snapToGrid w:val="0"/>
              <w:spacing w:line="320" w:lineRule="exact"/>
              <w:jc w:val="left"/>
              <w:rPr>
                <w:rFonts w:ascii="Times New Roman" w:hAnsi="Times New Roman"/>
                <w:b/>
                <w:color w:val="auto"/>
                <w:highlight w:val="none"/>
              </w:rPr>
            </w:pPr>
            <w:r>
              <w:rPr>
                <w:rFonts w:ascii="Times New Roman" w:hAnsi="Times New Roman"/>
                <w:b/>
                <w:color w:val="auto"/>
                <w:highlight w:val="none"/>
              </w:rPr>
              <w:t>评标基准价的计算：</w:t>
            </w:r>
          </w:p>
          <w:p>
            <w:pPr>
              <w:snapToGrid w:val="0"/>
              <w:spacing w:line="320" w:lineRule="exact"/>
              <w:ind w:right="113"/>
              <w:rPr>
                <w:rFonts w:ascii="Times New Roman" w:hAnsi="Times New Roman"/>
                <w:color w:val="auto"/>
                <w:szCs w:val="21"/>
                <w:highlight w:val="none"/>
              </w:rPr>
            </w:pPr>
            <w:r>
              <w:rPr>
                <w:rFonts w:ascii="Times New Roman" w:hAnsi="Times New Roman"/>
                <w:color w:val="auto"/>
                <w:szCs w:val="21"/>
                <w:highlight w:val="none"/>
              </w:rPr>
              <w:t>在开标现场，招标人将当场计算并宣布评标基准价。</w:t>
            </w:r>
          </w:p>
          <w:p>
            <w:pPr>
              <w:snapToGrid w:val="0"/>
              <w:spacing w:line="320" w:lineRule="exact"/>
              <w:ind w:left="113" w:right="113" w:firstLine="210" w:firstLineChars="100"/>
              <w:rPr>
                <w:rFonts w:ascii="Times New Roman" w:hAnsi="Times New Roman"/>
                <w:color w:val="auto"/>
                <w:szCs w:val="21"/>
                <w:highlight w:val="none"/>
              </w:rPr>
            </w:pPr>
            <w:r>
              <w:rPr>
                <w:rFonts w:ascii="Times New Roman" w:hAnsi="Times New Roman"/>
                <w:color w:val="auto"/>
                <w:szCs w:val="21"/>
                <w:highlight w:val="none"/>
              </w:rPr>
              <w:t>（1）评标价的确定：</w:t>
            </w:r>
          </w:p>
          <w:p>
            <w:pPr>
              <w:snapToGrid w:val="0"/>
              <w:spacing w:line="320" w:lineRule="exact"/>
              <w:ind w:left="113" w:right="113" w:firstLine="210" w:firstLineChars="100"/>
              <w:rPr>
                <w:rFonts w:ascii="Times New Roman" w:hAnsi="Times New Roman"/>
                <w:color w:val="auto"/>
                <w:szCs w:val="21"/>
                <w:highlight w:val="none"/>
              </w:rPr>
            </w:pPr>
            <w:r>
              <w:rPr>
                <w:rFonts w:ascii="Times New Roman" w:hAnsi="Times New Roman"/>
                <w:color w:val="auto"/>
                <w:szCs w:val="21"/>
                <w:highlight w:val="none"/>
              </w:rPr>
              <w:t>评标价=投标函文字报价</w:t>
            </w:r>
          </w:p>
          <w:p>
            <w:pPr>
              <w:snapToGrid w:val="0"/>
              <w:spacing w:line="320" w:lineRule="exact"/>
              <w:ind w:left="113" w:right="113" w:firstLine="210" w:firstLineChars="100"/>
              <w:rPr>
                <w:rFonts w:ascii="Times New Roman" w:hAnsi="Times New Roman"/>
                <w:color w:val="auto"/>
                <w:szCs w:val="21"/>
                <w:highlight w:val="none"/>
              </w:rPr>
            </w:pPr>
            <w:r>
              <w:rPr>
                <w:rFonts w:ascii="Times New Roman" w:hAnsi="Times New Roman"/>
                <w:color w:val="auto"/>
                <w:szCs w:val="21"/>
                <w:highlight w:val="none"/>
              </w:rPr>
              <w:t>（2）评标价平均值的计算：</w:t>
            </w:r>
          </w:p>
          <w:p>
            <w:pPr>
              <w:widowControl w:val="0"/>
              <w:snapToGrid w:val="0"/>
              <w:spacing w:line="320" w:lineRule="exact"/>
              <w:ind w:right="113"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widowControl w:val="0"/>
              <w:snapToGrid w:val="0"/>
              <w:spacing w:line="320" w:lineRule="exact"/>
              <w:ind w:right="113"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（3）评标基准价的确定：</w:t>
            </w:r>
          </w:p>
          <w:p>
            <w:pPr>
              <w:widowControl w:val="0"/>
              <w:autoSpaceDE w:val="0"/>
              <w:autoSpaceDN w:val="0"/>
              <w:adjustRightInd w:val="0"/>
              <w:snapToGrid w:val="0"/>
              <w:spacing w:line="32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将评标价平均值直接作为评标基准价（评标基准价保留两位小数，小数点后第三位四舍五入）。</w:t>
            </w:r>
          </w:p>
          <w:p>
            <w:pPr>
              <w:spacing w:line="288" w:lineRule="auto"/>
              <w:ind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3.6.1</w:t>
            </w:r>
          </w:p>
        </w:tc>
        <w:tc>
          <w:tcPr>
            <w:tcW w:w="1463" w:type="dxa"/>
            <w:noWrap w:val="0"/>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sz w:val="21"/>
                <w:szCs w:val="21"/>
                <w:highlight w:val="none"/>
              </w:rPr>
              <w:t>信息查询</w:t>
            </w:r>
          </w:p>
        </w:tc>
        <w:tc>
          <w:tcPr>
            <w:tcW w:w="7183" w:type="dxa"/>
            <w:noWrap w:val="0"/>
            <w:vAlign w:val="center"/>
          </w:tcPr>
          <w:p>
            <w:pPr>
              <w:keepNext w:val="0"/>
              <w:keepLines w:val="0"/>
              <w:pageBreakBefore w:val="0"/>
              <w:widowControl w:val="0"/>
              <w:kinsoku/>
              <w:wordWrap/>
              <w:overflowPunct/>
              <w:topLinePunct w:val="0"/>
              <w:autoSpaceDE w:val="0"/>
              <w:autoSpaceDN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本款修改为：</w:t>
            </w:r>
          </w:p>
          <w:p>
            <w:pPr>
              <w:keepNext w:val="0"/>
              <w:keepLines w:val="0"/>
              <w:pageBreakBefore w:val="0"/>
              <w:widowControl w:val="0"/>
              <w:kinsoku/>
              <w:wordWrap/>
              <w:overflowPunct/>
              <w:topLinePunct w:val="0"/>
              <w:autoSpaceDE w:val="0"/>
              <w:autoSpaceDN w:val="0"/>
              <w:bidi w:val="0"/>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信用情况网页截图内容与在“国家企业信用信息公示系统”中严重违法失信企业名单（不含分公司，事业单位投标人不适用）或在“信用中国”网站中失信被执行人名单、经营异常名录、重大税收违法失信主体名单、</w:t>
            </w:r>
            <w:r>
              <w:rPr>
                <w:rFonts w:hint="eastAsia" w:ascii="宋体" w:hAnsi="宋体" w:cs="宋体"/>
                <w:color w:val="auto"/>
                <w:sz w:val="21"/>
                <w:szCs w:val="21"/>
                <w:highlight w:val="none"/>
                <w:lang w:eastAsia="zh-CN"/>
              </w:rPr>
              <w:t>政府采购严重违法失信行为记录名单</w:t>
            </w:r>
            <w:r>
              <w:rPr>
                <w:rFonts w:hint="eastAsia" w:ascii="宋体" w:hAnsi="宋体" w:eastAsia="宋体" w:cs="宋体"/>
                <w:color w:val="auto"/>
                <w:sz w:val="21"/>
                <w:szCs w:val="21"/>
                <w:highlight w:val="none"/>
              </w:rPr>
              <w:t>（均不含分公司）的复核结果一致。</w:t>
            </w:r>
          </w:p>
          <w:p>
            <w:pPr>
              <w:keepNext w:val="0"/>
              <w:keepLines w:val="0"/>
              <w:pageBreakBefore w:val="0"/>
              <w:widowControl w:val="0"/>
              <w:kinsoku/>
              <w:wordWrap/>
              <w:overflowPunct/>
              <w:topLinePunct w:val="0"/>
              <w:autoSpaceDE w:val="0"/>
              <w:autoSpaceDN w:val="0"/>
              <w:bidi w:val="0"/>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上述（1）项如投标人未提供相关网页截图或所附截图与复核结果不一致，评标委员会应否决其投标。</w:t>
            </w:r>
          </w:p>
          <w:p>
            <w:pPr>
              <w:keepNext w:val="0"/>
              <w:keepLines w:val="0"/>
              <w:pageBreakBefore w:val="0"/>
              <w:widowControl w:val="0"/>
              <w:kinsoku/>
              <w:wordWrap/>
              <w:overflowPunct/>
              <w:topLinePunct w:val="0"/>
              <w:autoSpaceDE w:val="0"/>
              <w:autoSpaceDN w:val="0"/>
              <w:bidi w:val="0"/>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4" w:type="dxa"/>
            <w:gridSpan w:val="3"/>
            <w:noWrap w:val="0"/>
            <w:vAlign w:val="center"/>
          </w:tcPr>
          <w:p>
            <w:pPr>
              <w:spacing w:line="264"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需要补充的其他内容：无</w:t>
            </w:r>
          </w:p>
        </w:tc>
      </w:tr>
    </w:tbl>
    <w:p>
      <w:pPr>
        <w:pStyle w:val="25"/>
        <w:ind w:firstLine="560"/>
        <w:rPr>
          <w:rFonts w:ascii="宋体" w:hAnsi="宋体" w:cs="宋体"/>
          <w:bCs/>
          <w:color w:val="auto"/>
          <w:highlight w:val="none"/>
        </w:rPr>
      </w:pPr>
      <w:r>
        <w:rPr>
          <w:rFonts w:ascii="宋体" w:hAnsi="宋体" w:cs="宋体"/>
          <w:bCs/>
          <w:color w:val="auto"/>
          <w:highlight w:val="none"/>
        </w:rPr>
        <w:br w:type="page"/>
      </w:r>
    </w:p>
    <w:tbl>
      <w:tblPr>
        <w:tblStyle w:val="17"/>
        <w:tblW w:w="8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675"/>
        <w:gridCol w:w="675"/>
        <w:gridCol w:w="585"/>
        <w:gridCol w:w="6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2639" w:type="dxa"/>
            <w:gridSpan w:val="4"/>
            <w:tcBorders>
              <w:top w:val="nil"/>
              <w:left w:val="nil"/>
              <w:bottom w:val="nil"/>
              <w:right w:val="nil"/>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一标段：券商类</w:t>
            </w:r>
          </w:p>
        </w:tc>
        <w:tc>
          <w:tcPr>
            <w:tcW w:w="6360" w:type="dxa"/>
            <w:tcBorders>
              <w:top w:val="nil"/>
              <w:left w:val="nil"/>
              <w:bottom w:val="nil"/>
              <w:right w:val="nil"/>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63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评审因素与权重分值</w:t>
            </w:r>
          </w:p>
        </w:tc>
        <w:tc>
          <w:tcPr>
            <w:tcW w:w="63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评分</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评分因素权重分值</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各评分因素</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63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因素</w:t>
            </w: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auto"/>
                <w:sz w:val="20"/>
                <w:szCs w:val="20"/>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细分项</w:t>
            </w: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c>
          <w:tcPr>
            <w:tcW w:w="63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商务部分</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0分</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全国范围内承销金额和只数</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承销全国范围内中期票据（含永续中票）、短期融资券（含超短期融资券）以及定向融资工具承销累计金额：承销金额≥1500亿元得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00亿元≤承销金额＜1500亿元得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分，600亿元≤承销金额＜900亿元得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cs="宋体"/>
                <w:i w:val="0"/>
                <w:iCs w:val="0"/>
                <w:color w:val="auto"/>
                <w:kern w:val="0"/>
                <w:sz w:val="21"/>
                <w:szCs w:val="21"/>
                <w:highlight w:val="none"/>
                <w:u w:val="none"/>
                <w:lang w:val="en-US" w:eastAsia="zh-CN" w:bidi="ar"/>
              </w:rPr>
              <w:t>需附</w:t>
            </w:r>
            <w:r>
              <w:rPr>
                <w:rFonts w:hint="eastAsia" w:ascii="宋体" w:hAnsi="宋体" w:eastAsia="宋体" w:cs="宋体"/>
                <w:i w:val="0"/>
                <w:iCs w:val="0"/>
                <w:color w:val="auto"/>
                <w:kern w:val="0"/>
                <w:sz w:val="21"/>
                <w:szCs w:val="21"/>
                <w:highlight w:val="none"/>
                <w:u w:val="none"/>
                <w:lang w:val="en-US" w:eastAsia="zh-CN" w:bidi="ar"/>
              </w:rPr>
              <w:t>Wind导出数据截图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1、数据区间为2023年1月1日-2024年6月30日。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2、数据请通过Wind导出，导出路径如下：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（1）选择债券专题-一级市场-承销统计-债券承销排名（WIND口径）；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（2）筛选条件：选中“任意区间”，起止时间选择“2023年1月1日至2024年6月30日”，机构类型选择“</w:t>
            </w:r>
            <w:r>
              <w:rPr>
                <w:rFonts w:hint="eastAsia" w:ascii="宋体" w:hAnsi="宋体" w:cs="宋体"/>
                <w:i w:val="0"/>
                <w:iCs w:val="0"/>
                <w:color w:val="auto"/>
                <w:kern w:val="0"/>
                <w:sz w:val="21"/>
                <w:szCs w:val="21"/>
                <w:highlight w:val="none"/>
                <w:u w:val="none"/>
                <w:lang w:val="en-US" w:eastAsia="zh-CN" w:bidi="ar"/>
              </w:rPr>
              <w:t>证券</w:t>
            </w:r>
            <w:r>
              <w:rPr>
                <w:rFonts w:hint="eastAsia" w:ascii="宋体" w:hAnsi="宋体" w:eastAsia="宋体" w:cs="宋体"/>
                <w:i w:val="0"/>
                <w:iCs w:val="0"/>
                <w:color w:val="auto"/>
                <w:kern w:val="0"/>
                <w:sz w:val="21"/>
                <w:szCs w:val="21"/>
                <w:highlight w:val="none"/>
                <w:u w:val="none"/>
                <w:lang w:val="en-US" w:eastAsia="zh-CN" w:bidi="ar"/>
              </w:rPr>
              <w:t>”，债券分类选择“中期票据、短期融资券和定向工具”，“企业性质”选择“地方国有企业”“地域分类”选择“全国”，主体口径选择“穿透信用主体”，勾选“联主实际比例”，以“合并母子公司”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（3）下列筛选条件不进行筛选：“概念板块”、“上市地点”、“主体评级”。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（4）点击“提取数据”，可看到wind债券总承销金额及只数情况。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承销全国范围内中期票据（含永续中票）、短期融资券（含超短期融资券）以及定向融资工具承销累计只数：承销只数≥500只得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分，250只≤承销只数＜500只得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分，150只≤承销只数＜250只得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cs="宋体"/>
                <w:i w:val="0"/>
                <w:iCs w:val="0"/>
                <w:color w:val="auto"/>
                <w:kern w:val="0"/>
                <w:sz w:val="21"/>
                <w:szCs w:val="21"/>
                <w:highlight w:val="none"/>
                <w:u w:val="none"/>
                <w:lang w:val="en-US" w:eastAsia="zh-CN" w:bidi="ar"/>
              </w:rPr>
              <w:t>需附</w:t>
            </w:r>
            <w:r>
              <w:rPr>
                <w:rFonts w:hint="eastAsia" w:ascii="宋体" w:hAnsi="宋体" w:eastAsia="宋体" w:cs="宋体"/>
                <w:i w:val="0"/>
                <w:iCs w:val="0"/>
                <w:color w:val="auto"/>
                <w:kern w:val="0"/>
                <w:sz w:val="21"/>
                <w:szCs w:val="21"/>
                <w:highlight w:val="none"/>
                <w:u w:val="none"/>
                <w:lang w:val="en-US" w:eastAsia="zh-CN" w:bidi="ar"/>
              </w:rPr>
              <w:t>Wind导出数据截图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1、数据区间为2023年1月1日-2024年6月30日。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2、数据请通过Wind导出，导出路径如下：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（1）选择债券专题-一级市场-承销统计-债券承销排名（WIND口径）；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（2）筛选条件：选中“任意区间”，起止时间选择“2023年1月1日至2024年6月30日”，机构类型选择“</w:t>
            </w:r>
            <w:r>
              <w:rPr>
                <w:rFonts w:hint="eastAsia" w:ascii="宋体" w:hAnsi="宋体" w:cs="宋体"/>
                <w:i w:val="0"/>
                <w:iCs w:val="0"/>
                <w:color w:val="auto"/>
                <w:kern w:val="0"/>
                <w:sz w:val="21"/>
                <w:szCs w:val="21"/>
                <w:highlight w:val="none"/>
                <w:u w:val="none"/>
                <w:lang w:val="en-US" w:eastAsia="zh-CN" w:bidi="ar"/>
              </w:rPr>
              <w:t>证券</w:t>
            </w:r>
            <w:r>
              <w:rPr>
                <w:rFonts w:hint="eastAsia" w:ascii="宋体" w:hAnsi="宋体" w:eastAsia="宋体" w:cs="宋体"/>
                <w:i w:val="0"/>
                <w:iCs w:val="0"/>
                <w:color w:val="auto"/>
                <w:kern w:val="0"/>
                <w:sz w:val="21"/>
                <w:szCs w:val="21"/>
                <w:highlight w:val="none"/>
                <w:u w:val="none"/>
                <w:lang w:val="en-US" w:eastAsia="zh-CN" w:bidi="ar"/>
              </w:rPr>
              <w:t>”，债券分类选择“中期票据、短期融资券和定向工具”，“企业性质”选择“地方国有企业”“地域分类”选择“全国”，主体口径选择“穿透信用主体”，勾选“联主实际比例”，以“合并母子公司”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（3）下列筛选条件不进行筛选：“概念板块”、“上市地点”、“主体评级”。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（4）点击“提取数据”，可看到wind债券总承销金额及只数情况。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承销金额和只数</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承销河北省范围内中期票据（含永续中票）承销累计金额：承销金额≥100亿元得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分，50亿元≤承销金额＜100亿元得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分，20亿元≤承销金额＜50亿元得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cs="宋体"/>
                <w:i w:val="0"/>
                <w:iCs w:val="0"/>
                <w:color w:val="auto"/>
                <w:kern w:val="0"/>
                <w:sz w:val="21"/>
                <w:szCs w:val="21"/>
                <w:highlight w:val="none"/>
                <w:u w:val="none"/>
                <w:lang w:val="en-US" w:eastAsia="zh-CN" w:bidi="ar"/>
              </w:rPr>
              <w:t>需附</w:t>
            </w:r>
            <w:r>
              <w:rPr>
                <w:rFonts w:hint="eastAsia" w:ascii="宋体" w:hAnsi="宋体" w:eastAsia="宋体" w:cs="宋体"/>
                <w:i w:val="0"/>
                <w:iCs w:val="0"/>
                <w:color w:val="auto"/>
                <w:kern w:val="0"/>
                <w:sz w:val="21"/>
                <w:szCs w:val="21"/>
                <w:highlight w:val="none"/>
                <w:u w:val="none"/>
                <w:lang w:val="en-US" w:eastAsia="zh-CN" w:bidi="ar"/>
              </w:rPr>
              <w:t>Wind导出数据截图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1、数据区间为2023年1月1日-2024年6月30日。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2、数据请通过Wind导出，导出路径如下：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（1）选择债券专题-一级市场-承销统计-债券承销排名（WIND口径）；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（2）筛选条件：选中“任意区间”，起止时间选择“2023年1月1日至2024年6月30日”，机构类型选择“</w:t>
            </w:r>
            <w:r>
              <w:rPr>
                <w:rFonts w:hint="eastAsia" w:ascii="宋体" w:hAnsi="宋体" w:cs="宋体"/>
                <w:i w:val="0"/>
                <w:iCs w:val="0"/>
                <w:color w:val="auto"/>
                <w:kern w:val="0"/>
                <w:sz w:val="21"/>
                <w:szCs w:val="21"/>
                <w:highlight w:val="none"/>
                <w:u w:val="none"/>
                <w:lang w:val="en-US" w:eastAsia="zh-CN" w:bidi="ar"/>
              </w:rPr>
              <w:t>证券</w:t>
            </w:r>
            <w:r>
              <w:rPr>
                <w:rFonts w:hint="eastAsia" w:ascii="宋体" w:hAnsi="宋体" w:eastAsia="宋体" w:cs="宋体"/>
                <w:i w:val="0"/>
                <w:iCs w:val="0"/>
                <w:color w:val="auto"/>
                <w:kern w:val="0"/>
                <w:sz w:val="21"/>
                <w:szCs w:val="21"/>
                <w:highlight w:val="none"/>
                <w:u w:val="none"/>
                <w:lang w:val="en-US" w:eastAsia="zh-CN" w:bidi="ar"/>
              </w:rPr>
              <w:t>”，债券分类选择“中期票据”，“企业性质”选择“地方国有企业”“地域分类”选择“全国”，主体口径选择“穿透信用主体”，勾选“联主实际比例”，以“合并母子公司”数据为准。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（3）下列筛选条件不进行筛选：“概念板块”、“上市地点”、“主体评级”。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（4）点击“提取数据”，可看到wind债券总承销金额及只数情况。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承销河北省范围内中期票据（含永续中票）承销累计只数：承销只数≥30只得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分，15只≤承销只数＜30只得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只≤承销只数＜15只得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cs="宋体"/>
                <w:i w:val="0"/>
                <w:iCs w:val="0"/>
                <w:color w:val="auto"/>
                <w:kern w:val="0"/>
                <w:sz w:val="21"/>
                <w:szCs w:val="21"/>
                <w:highlight w:val="none"/>
                <w:u w:val="none"/>
                <w:lang w:val="en-US" w:eastAsia="zh-CN" w:bidi="ar"/>
              </w:rPr>
              <w:t>需附</w:t>
            </w:r>
            <w:r>
              <w:rPr>
                <w:rFonts w:hint="eastAsia" w:ascii="宋体" w:hAnsi="宋体" w:eastAsia="宋体" w:cs="宋体"/>
                <w:i w:val="0"/>
                <w:iCs w:val="0"/>
                <w:color w:val="auto"/>
                <w:kern w:val="0"/>
                <w:sz w:val="21"/>
                <w:szCs w:val="21"/>
                <w:highlight w:val="none"/>
                <w:u w:val="none"/>
                <w:lang w:val="en-US" w:eastAsia="zh-CN" w:bidi="ar"/>
              </w:rPr>
              <w:t>Wind导出数据截图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1、数据区间为2023年1月1日-2024年6月30日。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2、数据请通过Wind导出，导出路径如下：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（1）选择债券专题-一级市场-承销统计-债券承销排名（WIND口径）；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（2）筛选条件：选中“任意区间”，起止时间选择“2023年1月1日至2024年6月30日”，机构类型选择“</w:t>
            </w:r>
            <w:r>
              <w:rPr>
                <w:rFonts w:hint="eastAsia" w:ascii="宋体" w:hAnsi="宋体" w:cs="宋体"/>
                <w:i w:val="0"/>
                <w:iCs w:val="0"/>
                <w:color w:val="auto"/>
                <w:kern w:val="0"/>
                <w:sz w:val="21"/>
                <w:szCs w:val="21"/>
                <w:highlight w:val="none"/>
                <w:u w:val="none"/>
                <w:lang w:val="en-US" w:eastAsia="zh-CN" w:bidi="ar"/>
              </w:rPr>
              <w:t>证券</w:t>
            </w:r>
            <w:r>
              <w:rPr>
                <w:rFonts w:hint="eastAsia" w:ascii="宋体" w:hAnsi="宋体" w:eastAsia="宋体" w:cs="宋体"/>
                <w:i w:val="0"/>
                <w:iCs w:val="0"/>
                <w:color w:val="auto"/>
                <w:kern w:val="0"/>
                <w:sz w:val="21"/>
                <w:szCs w:val="21"/>
                <w:highlight w:val="none"/>
                <w:u w:val="none"/>
                <w:lang w:val="en-US" w:eastAsia="zh-CN" w:bidi="ar"/>
              </w:rPr>
              <w:t>”，债券分类选择“中期票据”，“企业性质”选择“地方国有企业”“地域分类”选择“全国”，主体口径选择“穿透信用主体”，勾选“联主实际比例”，以“合并母子公司”数据为准。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（3）下列筛选条件不进行筛选：“概念板块”、“上市地点”、“主体评级”。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（4）点击“提取数据”，可看到wind债券总承销金额及只数情况。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被协会自律处分情况</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被中国银行间市场交易商协会自律处分情况：有被处罚记录扣5分，没有被处罚记录得10分。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注：需附中国银行间市场交易商协会官网查询结果截图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1、数据区间为2023年1月1日-2024年6月30日。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2、数据请通过中国银行间市场交易商协会官网查询，查询路径如下：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（1）进入中国银行间市场交易商协会官网-选择自律-自律处分概览；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（2）查询条件：选择“处分措施为全部”，起止时间选择“2023年1月1日至2024年6月30日”。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（3）输入承销商机构名称，点击“查询”，可看到被处分情况。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服务方案部分</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40分</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承销服务方案</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根据本项目特点和发行要求，制定项目方案，包括但不限于政策环境分析、可行性分析、时间安排、相关保障服务（包括不限于余额包销和自主投资能力等）等进行综合评价。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第一档方案详细完整、针对性强，可行性高、保障措施完备的，得8-10分；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第二档方案基本完整、针对性较强，可行性较高、保障措施较好的，得6-</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第三档方案基本完整、针对性一般、可行性一般、保障措施一般的，得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缺项或</w:t>
            </w:r>
            <w:r>
              <w:rPr>
                <w:rFonts w:hint="eastAsia" w:ascii="宋体" w:hAnsi="宋体" w:eastAsia="宋体" w:cs="宋体"/>
                <w:i w:val="0"/>
                <w:iCs w:val="0"/>
                <w:color w:val="auto"/>
                <w:kern w:val="0"/>
                <w:sz w:val="21"/>
                <w:szCs w:val="21"/>
                <w:highlight w:val="none"/>
                <w:u w:val="none"/>
                <w:lang w:val="en-US" w:eastAsia="zh-CN" w:bidi="ar"/>
              </w:rPr>
              <w:t>方案有欠缺、针对性较差、可行性一般、保障措施不足的，得0分。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项目团队配置</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项目团队配置：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8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项目团队人员具备银行间交易商协会相关债券产品发行经验，有过Wind行业（二级）为“运输”债券发行（独主或牵头主）经验，根据项目团队人员配置、专业资格、项目经验、工作经历等客观因素进行综合评价，最高得4分。</w:t>
            </w:r>
          </w:p>
          <w:p>
            <w:pPr>
              <w:pStyle w:val="16"/>
              <w:ind w:left="0" w:leftChars="0" w:firstLine="0" w:firstLineChars="0"/>
              <w:rPr>
                <w:rFonts w:hint="default"/>
                <w:color w:val="auto"/>
                <w:highlight w:val="none"/>
                <w:lang w:val="en-US" w:eastAsia="zh-CN"/>
              </w:rPr>
            </w:pPr>
            <w:r>
              <w:rPr>
                <w:rFonts w:hint="eastAsia"/>
                <w:color w:val="auto"/>
                <w:highlight w:val="none"/>
                <w:lang w:val="en-US" w:eastAsia="zh-CN"/>
              </w:rPr>
              <w:t>注：项目经验的证明材料为募集说明书签字页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项目团队人员</w:t>
            </w:r>
            <w:r>
              <w:rPr>
                <w:rFonts w:hint="eastAsia" w:ascii="宋体" w:hAnsi="宋体" w:cs="宋体"/>
                <w:i w:val="0"/>
                <w:iCs w:val="0"/>
                <w:color w:val="auto"/>
                <w:kern w:val="0"/>
                <w:sz w:val="21"/>
                <w:szCs w:val="21"/>
                <w:highlight w:val="none"/>
                <w:u w:val="none"/>
                <w:lang w:val="en-US" w:eastAsia="zh-CN" w:bidi="ar"/>
              </w:rPr>
              <w:t>中</w:t>
            </w:r>
            <w:r>
              <w:rPr>
                <w:rFonts w:hint="eastAsia" w:ascii="宋体" w:hAnsi="宋体" w:eastAsia="宋体" w:cs="宋体"/>
                <w:i w:val="0"/>
                <w:iCs w:val="0"/>
                <w:color w:val="auto"/>
                <w:kern w:val="0"/>
                <w:sz w:val="21"/>
                <w:szCs w:val="21"/>
                <w:highlight w:val="none"/>
                <w:u w:val="none"/>
                <w:lang w:val="en-US" w:eastAsia="zh-CN" w:bidi="ar"/>
              </w:rPr>
              <w:t>每有一人持有注册会计师证或法律职业资格证书</w:t>
            </w:r>
            <w:r>
              <w:rPr>
                <w:rFonts w:hint="eastAsia" w:ascii="宋体" w:hAnsi="宋体" w:cs="宋体"/>
                <w:i w:val="0"/>
                <w:iCs w:val="0"/>
                <w:color w:val="auto"/>
                <w:kern w:val="0"/>
                <w:sz w:val="21"/>
                <w:szCs w:val="21"/>
                <w:highlight w:val="none"/>
                <w:u w:val="none"/>
                <w:lang w:val="en-US" w:eastAsia="zh-CN" w:bidi="ar"/>
              </w:rPr>
              <w:t>得</w:t>
            </w:r>
            <w:r>
              <w:rPr>
                <w:rFonts w:hint="eastAsia" w:ascii="宋体" w:hAnsi="宋体" w:eastAsia="宋体" w:cs="宋体"/>
                <w:i w:val="0"/>
                <w:iCs w:val="0"/>
                <w:color w:val="auto"/>
                <w:kern w:val="0"/>
                <w:sz w:val="21"/>
                <w:szCs w:val="21"/>
                <w:highlight w:val="none"/>
                <w:u w:val="none"/>
                <w:lang w:val="en-US" w:eastAsia="zh-CN" w:bidi="ar"/>
              </w:rPr>
              <w:t>2分，</w:t>
            </w:r>
            <w:r>
              <w:rPr>
                <w:rFonts w:hint="eastAsia" w:ascii="宋体" w:hAnsi="宋体" w:cs="宋体"/>
                <w:i w:val="0"/>
                <w:iCs w:val="0"/>
                <w:color w:val="auto"/>
                <w:kern w:val="0"/>
                <w:sz w:val="21"/>
                <w:szCs w:val="21"/>
                <w:highlight w:val="none"/>
                <w:u w:val="none"/>
                <w:lang w:val="en-US" w:eastAsia="zh-CN" w:bidi="ar"/>
              </w:rPr>
              <w:t>最高得6</w:t>
            </w:r>
            <w:r>
              <w:rPr>
                <w:rFonts w:hint="eastAsia" w:ascii="宋体" w:hAnsi="宋体" w:eastAsia="宋体" w:cs="宋体"/>
                <w:i w:val="0"/>
                <w:iCs w:val="0"/>
                <w:color w:val="auto"/>
                <w:kern w:val="0"/>
                <w:sz w:val="21"/>
                <w:szCs w:val="21"/>
                <w:highlight w:val="none"/>
                <w:u w:val="none"/>
                <w:lang w:val="en-US" w:eastAsia="zh-CN" w:bidi="ar"/>
              </w:rPr>
              <w:t>分。</w:t>
            </w:r>
          </w:p>
          <w:p>
            <w:pPr>
              <w:pStyle w:val="10"/>
              <w:rPr>
                <w:rFonts w:hint="eastAsia"/>
                <w:highlight w:val="none"/>
              </w:rPr>
            </w:pPr>
            <w:r>
              <w:rPr>
                <w:rFonts w:hint="eastAsia" w:ascii="宋体" w:hAnsi="宋体" w:eastAsia="宋体" w:cs="宋体"/>
                <w:i w:val="0"/>
                <w:iCs w:val="0"/>
                <w:color w:val="auto"/>
                <w:kern w:val="0"/>
                <w:sz w:val="21"/>
                <w:szCs w:val="21"/>
                <w:highlight w:val="none"/>
                <w:u w:val="none"/>
                <w:lang w:val="en-US" w:eastAsia="zh-CN" w:bidi="ar"/>
              </w:rPr>
              <w:t>注：附注册会计师证书扫描件（如有）或法律职业资格证书扫描件（如有）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发行保障措施</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发行保障措施：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对宏观市场分析，近期利率走势，本期债券定价，及余额包销能力相关措施</w:t>
            </w:r>
          </w:p>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1.措施完善、合理可行，能较好的满足本项目要求得8-10分；</w:t>
            </w:r>
          </w:p>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2.较合理完善，可行性一般，能满足本项目要求得6-8分；</w:t>
            </w:r>
          </w:p>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3.合理性一般，可操作性一般得 6分。</w:t>
            </w:r>
          </w:p>
          <w:p>
            <w:pPr>
              <w:pStyle w:val="16"/>
              <w:ind w:left="0" w:leftChars="0" w:firstLine="0" w:firstLineChars="0"/>
              <w:rPr>
                <w:rFonts w:hint="default" w:eastAsia="宋体"/>
                <w:highlight w:val="none"/>
                <w:lang w:val="en-US" w:eastAsia="zh-CN"/>
              </w:rPr>
            </w:pPr>
            <w:r>
              <w:rPr>
                <w:rFonts w:hint="eastAsia"/>
                <w:highlight w:val="none"/>
                <w:lang w:val="en-US" w:eastAsia="zh-CN"/>
              </w:rPr>
              <w:t>缺项或合理性较差得0分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服务及存续期管理措施</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服务及存续期管理措施：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1.措施完善、合理可行，能较好的满足本项目要求得8-10分；</w:t>
            </w:r>
          </w:p>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2.较合理完善，可行性一般，能满足本项目要求得6-8分；</w:t>
            </w:r>
          </w:p>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3.合理性欠佳，可操作性一般得6分。</w:t>
            </w:r>
          </w:p>
          <w:p>
            <w:pPr>
              <w:pStyle w:val="16"/>
              <w:ind w:left="0" w:leftChars="0" w:firstLine="0" w:firstLineChars="0"/>
              <w:rPr>
                <w:rFonts w:hint="eastAsia"/>
                <w:highlight w:val="none"/>
              </w:rPr>
            </w:pPr>
            <w:r>
              <w:rPr>
                <w:rFonts w:hint="eastAsia"/>
                <w:highlight w:val="none"/>
                <w:lang w:val="en-US" w:eastAsia="zh-CN"/>
              </w:rPr>
              <w:t>缺项或合理性较差得0分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评标价</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0分</w:t>
            </w:r>
          </w:p>
        </w:tc>
        <w:tc>
          <w:tcPr>
            <w:tcW w:w="76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得分计算公式：</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本次报价上限为不超过0.05%/年（含），超过报价上限为无效报价。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（1）如果投标人的</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，则</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得分=F-（投标人</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一</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）×10000×E1；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（2）如果投标人的</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，则</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得分=F+（投标人</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一</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）×10000×E2。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其中，F=</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0；E1=0.</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；E2=0.</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；（报价不得违背《非金融企业债务融资工具承销机构自律公约》相关要求）</w:t>
            </w:r>
            <w:r>
              <w:rPr>
                <w:rFonts w:hint="eastAsia" w:ascii="宋体" w:hAnsi="宋体" w:cs="宋体"/>
                <w:i w:val="0"/>
                <w:iCs w:val="0"/>
                <w:color w:val="auto"/>
                <w:kern w:val="0"/>
                <w:sz w:val="21"/>
                <w:szCs w:val="21"/>
                <w:highlight w:val="none"/>
                <w:u w:val="none"/>
                <w:lang w:val="en-US" w:eastAsia="zh-CN" w:bidi="ar"/>
              </w:rPr>
              <w:t>。</w:t>
            </w:r>
          </w:p>
          <w:p>
            <w:pPr>
              <w:pStyle w:val="2"/>
              <w:rPr>
                <w:rFonts w:hint="eastAsia"/>
                <w:color w:val="auto"/>
                <w:highlight w:val="none"/>
              </w:rPr>
            </w:pPr>
            <w:r>
              <w:rPr>
                <w:rFonts w:hint="eastAsia" w:ascii="宋体" w:hAnsi="宋体" w:eastAsia="宋体" w:cs="宋体"/>
                <w:color w:val="auto"/>
                <w:sz w:val="21"/>
                <w:szCs w:val="21"/>
                <w:highlight w:val="none"/>
              </w:rPr>
              <w:t>评标价</w:t>
            </w:r>
            <w:r>
              <w:rPr>
                <w:rFonts w:hint="eastAsia" w:ascii="宋体" w:hAnsi="宋体" w:eastAsia="宋体" w:cs="宋体"/>
                <w:color w:val="auto"/>
                <w:sz w:val="21"/>
                <w:szCs w:val="21"/>
                <w:highlight w:val="none"/>
                <w:lang w:val="en-US" w:eastAsia="zh-CN"/>
              </w:rPr>
              <w:t>得分</w:t>
            </w:r>
            <w:r>
              <w:rPr>
                <w:rFonts w:hint="eastAsia" w:ascii="宋体" w:hAnsi="宋体" w:eastAsia="宋体" w:cs="宋体"/>
                <w:color w:val="auto"/>
                <w:sz w:val="21"/>
                <w:szCs w:val="21"/>
                <w:highlight w:val="none"/>
              </w:rPr>
              <w:t>保留小数点后两位，小数点后第三位四舍五入</w:t>
            </w:r>
          </w:p>
        </w:tc>
      </w:tr>
    </w:tbl>
    <w:p>
      <w:pPr>
        <w:pStyle w:val="25"/>
        <w:ind w:firstLine="560"/>
        <w:rPr>
          <w:rFonts w:ascii="宋体" w:hAnsi="宋体" w:cs="宋体"/>
          <w:bCs/>
          <w:color w:val="auto"/>
          <w:highlight w:val="none"/>
        </w:rPr>
      </w:pPr>
    </w:p>
    <w:p>
      <w:pPr>
        <w:pStyle w:val="25"/>
        <w:ind w:firstLine="560"/>
        <w:rPr>
          <w:rFonts w:ascii="宋体" w:hAnsi="宋体" w:cs="宋体"/>
          <w:bCs/>
          <w:color w:val="auto"/>
          <w:highlight w:val="none"/>
        </w:rPr>
      </w:pPr>
      <w:r>
        <w:rPr>
          <w:rFonts w:ascii="宋体" w:hAnsi="宋体" w:cs="宋体"/>
          <w:bCs/>
          <w:color w:val="auto"/>
          <w:highlight w:val="none"/>
        </w:rPr>
        <w:br w:type="page"/>
      </w:r>
    </w:p>
    <w:tbl>
      <w:tblPr>
        <w:tblStyle w:val="17"/>
        <w:tblW w:w="9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6"/>
        <w:gridCol w:w="690"/>
        <w:gridCol w:w="765"/>
        <w:gridCol w:w="620"/>
        <w:gridCol w:w="6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791" w:type="dxa"/>
            <w:gridSpan w:val="4"/>
            <w:tcBorders>
              <w:top w:val="nil"/>
              <w:left w:val="nil"/>
              <w:bottom w:val="nil"/>
              <w:right w:val="nil"/>
            </w:tcBorders>
            <w:noWrap/>
            <w:vAlign w:val="center"/>
          </w:tcPr>
          <w:p>
            <w:pPr>
              <w:rPr>
                <w:rFonts w:hint="eastAsia" w:ascii="宋体" w:hAnsi="宋体" w:eastAsia="宋体" w:cs="宋体"/>
                <w:i w:val="0"/>
                <w:iCs w:val="0"/>
                <w:color w:val="auto"/>
                <w:sz w:val="21"/>
                <w:szCs w:val="21"/>
                <w:highlight w:val="none"/>
                <w:u w:val="none"/>
              </w:rPr>
            </w:pPr>
            <w:bookmarkStart w:id="8" w:name="_GoBack"/>
            <w:r>
              <w:rPr>
                <w:rFonts w:hint="eastAsia" w:ascii="宋体" w:hAnsi="宋体" w:eastAsia="宋体" w:cs="宋体"/>
                <w:b/>
                <w:bCs/>
                <w:i w:val="0"/>
                <w:iCs w:val="0"/>
                <w:color w:val="auto"/>
                <w:kern w:val="0"/>
                <w:sz w:val="21"/>
                <w:szCs w:val="21"/>
                <w:highlight w:val="none"/>
                <w:u w:val="none"/>
                <w:lang w:val="en-US" w:eastAsia="zh-CN" w:bidi="ar"/>
              </w:rPr>
              <w:t>二标段：银行类</w:t>
            </w:r>
          </w:p>
        </w:tc>
        <w:tc>
          <w:tcPr>
            <w:tcW w:w="6712" w:type="dxa"/>
            <w:tcBorders>
              <w:top w:val="nil"/>
              <w:left w:val="nil"/>
              <w:bottom w:val="nil"/>
              <w:right w:val="nil"/>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279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评审因素与权重分值</w:t>
            </w:r>
          </w:p>
        </w:tc>
        <w:tc>
          <w:tcPr>
            <w:tcW w:w="6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评分因素权重分值</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各评分因素</w:t>
            </w:r>
          </w:p>
        </w:tc>
        <w:tc>
          <w:tcPr>
            <w:tcW w:w="6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6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因素</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细分项</w:t>
            </w: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c>
          <w:tcPr>
            <w:tcW w:w="6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商务部分</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0分</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全国范围内承销金额和只数</w:t>
            </w:r>
          </w:p>
        </w:tc>
        <w:tc>
          <w:tcPr>
            <w:tcW w:w="6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承销全国范围内中期票据（含永续中票）、短期融资券（含超短期融资券）以及定向融资工具承销累计金额：承销金额≥5000亿元得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分，3000亿元≤承销金额＜5000亿元得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000亿元≤承销金额＜3000亿元得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cs="宋体"/>
                <w:i w:val="0"/>
                <w:iCs w:val="0"/>
                <w:color w:val="auto"/>
                <w:kern w:val="0"/>
                <w:sz w:val="21"/>
                <w:szCs w:val="21"/>
                <w:highlight w:val="none"/>
                <w:u w:val="none"/>
                <w:lang w:val="en-US" w:eastAsia="zh-CN" w:bidi="ar"/>
              </w:rPr>
              <w:t>需附</w:t>
            </w:r>
            <w:r>
              <w:rPr>
                <w:rFonts w:hint="eastAsia" w:ascii="宋体" w:hAnsi="宋体" w:eastAsia="宋体" w:cs="宋体"/>
                <w:i w:val="0"/>
                <w:iCs w:val="0"/>
                <w:color w:val="auto"/>
                <w:kern w:val="0"/>
                <w:sz w:val="21"/>
                <w:szCs w:val="21"/>
                <w:highlight w:val="none"/>
                <w:u w:val="none"/>
                <w:lang w:val="en-US" w:eastAsia="zh-CN" w:bidi="ar"/>
              </w:rPr>
              <w:t>Wind导出数据截图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1、数据区间为2023年1月1日-2024年6月30日。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2、数据请通过Wind导出，导出路径如下：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（1）选择债券专题-一级市场-承销统计-债券承销排名（WIND口径）；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筛选条件：选中“任意区间”，起止时间选择“2023年1月1日至2024年6月30日”，机构类型选择“银行”，债券分类选择“中期票据、短期融资券和定向工具”，“企业性质”选择“地方国有企业”“地域分类”选择“全国”，主体口径选择“穿透信用主体”，勾选“联主实际比例”，以“合并母子公司”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（3）下列筛选条件不进行筛选：“概念板块”、“上市地点”、“主体评级”。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（4）点击“提取数据”，可看到wind债券总承销金额及只数情况。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承销全国范围内中期票据（含永续中票）、短期融资券（含超短期融资券）以及定向融资工具承销累计只数：承销只数≥1000只得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分，600只≤承销只数＜1000只得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分，400只≤承销只数＜600只得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cs="宋体"/>
                <w:i w:val="0"/>
                <w:iCs w:val="0"/>
                <w:color w:val="auto"/>
                <w:kern w:val="0"/>
                <w:sz w:val="21"/>
                <w:szCs w:val="21"/>
                <w:highlight w:val="none"/>
                <w:u w:val="none"/>
                <w:lang w:val="en-US" w:eastAsia="zh-CN" w:bidi="ar"/>
              </w:rPr>
              <w:t>需附</w:t>
            </w:r>
            <w:r>
              <w:rPr>
                <w:rFonts w:hint="eastAsia" w:ascii="宋体" w:hAnsi="宋体" w:eastAsia="宋体" w:cs="宋体"/>
                <w:i w:val="0"/>
                <w:iCs w:val="0"/>
                <w:color w:val="auto"/>
                <w:kern w:val="0"/>
                <w:sz w:val="21"/>
                <w:szCs w:val="21"/>
                <w:highlight w:val="none"/>
                <w:u w:val="none"/>
                <w:lang w:val="en-US" w:eastAsia="zh-CN" w:bidi="ar"/>
              </w:rPr>
              <w:t>Wind导出数据截图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1、数据区间为2023年1月1日-2024年6月30日。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2、数据请通过Wind导出，导出路径如下：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（1）选择债券专题-一级市场-承销统计-债券承销排名（WIND口径）；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筛选条件：选中“任意区间”，起止时间选择“2023年1月1日至2024年6月30日”，机构类型选择“银行”，债券分类选择“中期票据、短期融资券和定向工具”，“企业性质”选择“地方国有企业”“地域分类”选择“全国”，主体口径选择“穿透信用主体”，勾选“联主实际比例”，以“合并母子公司”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（3）下列筛选条件不进行筛选：“概念板块”、“上市地点”、“主体评级”。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（4）点击“提取数据”，可看到wind债券总承销金额及只数情况。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承销金额和只数</w:t>
            </w:r>
          </w:p>
        </w:tc>
        <w:tc>
          <w:tcPr>
            <w:tcW w:w="6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承销河北省范围内中期票据（含永续中票）承销累计金额：承销金额≥100亿元得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分，50亿元≤承销金额＜100亿元得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分，30亿元≤承销金额＜50亿元得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cs="宋体"/>
                <w:i w:val="0"/>
                <w:iCs w:val="0"/>
                <w:color w:val="auto"/>
                <w:kern w:val="0"/>
                <w:sz w:val="21"/>
                <w:szCs w:val="21"/>
                <w:highlight w:val="none"/>
                <w:u w:val="none"/>
                <w:lang w:val="en-US" w:eastAsia="zh-CN" w:bidi="ar"/>
              </w:rPr>
              <w:t>需附</w:t>
            </w:r>
            <w:r>
              <w:rPr>
                <w:rFonts w:hint="eastAsia" w:ascii="宋体" w:hAnsi="宋体" w:eastAsia="宋体" w:cs="宋体"/>
                <w:i w:val="0"/>
                <w:iCs w:val="0"/>
                <w:color w:val="auto"/>
                <w:kern w:val="0"/>
                <w:sz w:val="21"/>
                <w:szCs w:val="21"/>
                <w:highlight w:val="none"/>
                <w:u w:val="none"/>
                <w:lang w:val="en-US" w:eastAsia="zh-CN" w:bidi="ar"/>
              </w:rPr>
              <w:t>Wind导出数据截图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1、数据区间为2023年1月1日-2024年6月30日。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2、数据请通过Wind导出，导出路径如下：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（1）选择债券专题-一级市场-承销统计-债券承销排名（WIND口径）；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筛选条件：选中“任意区间”，起止时间选择“2023年1月1日至2024年6月30日”，机构类型选择“银行”，债券分类选择“中期票据”，“企业性质”选择“地方国有企业”“地域分类”选择“全国”，主体口径选择“穿透信用主体”，勾选“联主实际比例”，以“合并母子公司”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（3）下列筛选条件不进行筛选：“概念板块”、“上市地点”、“主体评级”。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（4）点击“提取数据”，可看到wind债券总承销金额及只数情况。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承销河北省范围内中期票据（含永续中票）承销累计只数：承销只数≥20只得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分，10只≤承销只数＜20只得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分，5只≤承销只数＜10只得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分，2只≤承销只数＜5只得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分，承销只数＜</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只得</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cs="宋体"/>
                <w:i w:val="0"/>
                <w:iCs w:val="0"/>
                <w:color w:val="auto"/>
                <w:kern w:val="0"/>
                <w:sz w:val="21"/>
                <w:szCs w:val="21"/>
                <w:highlight w:val="none"/>
                <w:u w:val="none"/>
                <w:lang w:val="en-US" w:eastAsia="zh-CN" w:bidi="ar"/>
              </w:rPr>
              <w:t>需附</w:t>
            </w:r>
            <w:r>
              <w:rPr>
                <w:rFonts w:hint="eastAsia" w:ascii="宋体" w:hAnsi="宋体" w:eastAsia="宋体" w:cs="宋体"/>
                <w:i w:val="0"/>
                <w:iCs w:val="0"/>
                <w:color w:val="auto"/>
                <w:kern w:val="0"/>
                <w:sz w:val="21"/>
                <w:szCs w:val="21"/>
                <w:highlight w:val="none"/>
                <w:u w:val="none"/>
                <w:lang w:val="en-US" w:eastAsia="zh-CN" w:bidi="ar"/>
              </w:rPr>
              <w:t>Wind导出数据截图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1、数据区间为2023年1月1日-2024年6月30日。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2、数据请通过Wind导出，导出路径如下：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（1）选择债券专题-一级市场-承销统计-债券承销排名（WIND口径）；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筛选条件：选中“任意区间”，起止时间选择“2023年1月1日至2024年6月30日”，机构类型选择“银行”，债券分类选择“中期票据”，“企业性质”选择“地方国有企业”“地域分类”选择“全国”，主体口径选择“穿透信用主体”，勾选“联主实际比例”，以“合并母子公司”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（3）下列筛选条件不进行筛选：“概念板块”、“上市地点”、“主体评级”。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（4）点击“提取数据”，可看到wind债券总承销金额及只数情况。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被协会自律处分情况</w:t>
            </w:r>
          </w:p>
        </w:tc>
        <w:tc>
          <w:tcPr>
            <w:tcW w:w="6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被中国银行间市场交易商协会自律处分情况：有被处罚记录扣</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分，没有被处罚记录得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注：需附中国银行间市场交易商协会官网查询结果截图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1、数据区间为2023年1月1日-2024年6月30日。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2、数据请通过中国银行间市场交易商协会官网查询，查询路径如下：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（1）进入中国银行间市场交易商协会官网-选择自律-自律处分概览；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（2）查询条件：选择“处分措施为全部”，起止时间选择“2023年1月1日至2024年6月30日”。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（3）输入承销商机构名称，点击“查询”，可看到被处分情况。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restart"/>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债券投资支持情况</w:t>
            </w:r>
          </w:p>
        </w:tc>
        <w:tc>
          <w:tcPr>
            <w:tcW w:w="62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各金融机构对河北高速公路集团上期公司债券投资支持情况：投资金额≥7亿元得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分，5亿元≤承销金额＜7亿元得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分，3亿元≤承销金额＜5亿元得3分。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1、各金融机构自行填报对“21冀高债”投资金额，并与河北高速集团核对。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服务方案部分</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40</w:t>
            </w:r>
            <w:r>
              <w:rPr>
                <w:rFonts w:hint="eastAsia" w:ascii="宋体" w:hAnsi="宋体" w:eastAsia="宋体" w:cs="宋体"/>
                <w:i w:val="0"/>
                <w:iCs w:val="0"/>
                <w:color w:val="auto"/>
                <w:kern w:val="0"/>
                <w:sz w:val="21"/>
                <w:szCs w:val="21"/>
                <w:highlight w:val="none"/>
                <w:u w:val="none"/>
                <w:lang w:val="en-US" w:eastAsia="zh-CN" w:bidi="ar"/>
              </w:rPr>
              <w:t>分</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承销服务方案</w:t>
            </w:r>
          </w:p>
        </w:tc>
        <w:tc>
          <w:tcPr>
            <w:tcW w:w="6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根据本项目特点和发行要求，制定项目方案，包括但不限于政策环境分析、可行性分析、时间安排、相关保障服务（包括不限于余额包销和自主投资能力等）等进行综合评价。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第一档方案详细完整、针对性强，可行性高、保障措施完备的，得8-10分；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第二档方案基本完整、针对性较强，可行性较高、保障措施较好的，得6-</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第三档方案基本完整、针对性一般、可行性一般、保障措施一般的，得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缺项或</w:t>
            </w:r>
            <w:r>
              <w:rPr>
                <w:rFonts w:hint="eastAsia" w:ascii="宋体" w:hAnsi="宋体" w:eastAsia="宋体" w:cs="宋体"/>
                <w:i w:val="0"/>
                <w:iCs w:val="0"/>
                <w:color w:val="auto"/>
                <w:kern w:val="0"/>
                <w:sz w:val="21"/>
                <w:szCs w:val="21"/>
                <w:highlight w:val="none"/>
                <w:u w:val="none"/>
                <w:lang w:val="en-US" w:eastAsia="zh-CN" w:bidi="ar"/>
              </w:rPr>
              <w:t>方案有欠缺、针对性较差、可行性一般、保障措施不足的，得0分。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项目团队配置</w:t>
            </w:r>
          </w:p>
        </w:tc>
        <w:tc>
          <w:tcPr>
            <w:tcW w:w="6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项目团队配置：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2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项目团队人员具备银行间交易商协会相关债券产品发行经验，有过Wind行业（二级）为“运输”债券发行（独主或牵头主）经验，根据项目团队人员配置、专业资格、项目经验、工作经历等客观因素进行综合评价，最高得4分。</w:t>
            </w:r>
          </w:p>
          <w:p>
            <w:pPr>
              <w:pStyle w:val="16"/>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color w:val="auto"/>
                <w:highlight w:val="none"/>
                <w:lang w:val="en-US" w:eastAsia="zh-CN"/>
              </w:rPr>
              <w:t>注：项目经验的证明材料为募集说明书签字页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项目团队人员</w:t>
            </w:r>
            <w:r>
              <w:rPr>
                <w:rFonts w:hint="eastAsia" w:ascii="宋体" w:hAnsi="宋体" w:cs="宋体"/>
                <w:i w:val="0"/>
                <w:iCs w:val="0"/>
                <w:color w:val="auto"/>
                <w:kern w:val="0"/>
                <w:sz w:val="21"/>
                <w:szCs w:val="21"/>
                <w:highlight w:val="none"/>
                <w:u w:val="none"/>
                <w:lang w:val="en-US" w:eastAsia="zh-CN" w:bidi="ar"/>
              </w:rPr>
              <w:t>中</w:t>
            </w:r>
            <w:r>
              <w:rPr>
                <w:rFonts w:hint="eastAsia" w:ascii="宋体" w:hAnsi="宋体" w:eastAsia="宋体" w:cs="宋体"/>
                <w:i w:val="0"/>
                <w:iCs w:val="0"/>
                <w:color w:val="auto"/>
                <w:kern w:val="0"/>
                <w:sz w:val="21"/>
                <w:szCs w:val="21"/>
                <w:highlight w:val="none"/>
                <w:u w:val="none"/>
                <w:lang w:val="en-US" w:eastAsia="zh-CN" w:bidi="ar"/>
              </w:rPr>
              <w:t>每有一人持有注册会计师证或法律职业资格证书</w:t>
            </w:r>
            <w:r>
              <w:rPr>
                <w:rFonts w:hint="eastAsia" w:ascii="宋体" w:hAnsi="宋体" w:cs="宋体"/>
                <w:i w:val="0"/>
                <w:iCs w:val="0"/>
                <w:color w:val="auto"/>
                <w:kern w:val="0"/>
                <w:sz w:val="21"/>
                <w:szCs w:val="21"/>
                <w:highlight w:val="none"/>
                <w:u w:val="none"/>
                <w:lang w:val="en-US" w:eastAsia="zh-CN" w:bidi="ar"/>
              </w:rPr>
              <w:t>得</w:t>
            </w:r>
            <w:r>
              <w:rPr>
                <w:rFonts w:hint="eastAsia" w:ascii="宋体" w:hAnsi="宋体" w:eastAsia="宋体" w:cs="宋体"/>
                <w:i w:val="0"/>
                <w:iCs w:val="0"/>
                <w:color w:val="auto"/>
                <w:kern w:val="0"/>
                <w:sz w:val="21"/>
                <w:szCs w:val="21"/>
                <w:highlight w:val="none"/>
                <w:u w:val="none"/>
                <w:lang w:val="en-US" w:eastAsia="zh-CN" w:bidi="ar"/>
              </w:rPr>
              <w:t>2分，</w:t>
            </w:r>
            <w:r>
              <w:rPr>
                <w:rFonts w:hint="eastAsia" w:ascii="宋体" w:hAnsi="宋体" w:cs="宋体"/>
                <w:i w:val="0"/>
                <w:iCs w:val="0"/>
                <w:color w:val="auto"/>
                <w:kern w:val="0"/>
                <w:sz w:val="21"/>
                <w:szCs w:val="21"/>
                <w:highlight w:val="none"/>
                <w:u w:val="none"/>
                <w:lang w:val="en-US" w:eastAsia="zh-CN" w:bidi="ar"/>
              </w:rPr>
              <w:t>最高得6</w:t>
            </w:r>
            <w:r>
              <w:rPr>
                <w:rFonts w:hint="eastAsia" w:ascii="宋体" w:hAnsi="宋体" w:eastAsia="宋体" w:cs="宋体"/>
                <w:i w:val="0"/>
                <w:iCs w:val="0"/>
                <w:color w:val="auto"/>
                <w:kern w:val="0"/>
                <w:sz w:val="21"/>
                <w:szCs w:val="21"/>
                <w:highlight w:val="none"/>
                <w:u w:val="none"/>
                <w:lang w:val="en-US" w:eastAsia="zh-CN" w:bidi="ar"/>
              </w:rPr>
              <w:t>分。</w:t>
            </w:r>
          </w:p>
          <w:p>
            <w:pPr>
              <w:pStyle w:val="10"/>
              <w:rPr>
                <w:rFonts w:hint="eastAsia"/>
                <w:highlight w:val="none"/>
              </w:rPr>
            </w:pPr>
            <w:r>
              <w:rPr>
                <w:rFonts w:hint="eastAsia" w:ascii="宋体" w:hAnsi="宋体" w:eastAsia="宋体" w:cs="宋体"/>
                <w:i w:val="0"/>
                <w:iCs w:val="0"/>
                <w:color w:val="auto"/>
                <w:kern w:val="0"/>
                <w:sz w:val="21"/>
                <w:szCs w:val="21"/>
                <w:highlight w:val="none"/>
                <w:u w:val="none"/>
                <w:lang w:val="en-US" w:eastAsia="zh-CN" w:bidi="ar"/>
              </w:rPr>
              <w:t>注：附注册会计师证书扫描件（如有）或法律职业资格证书扫描件（如有）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发行保障措施</w:t>
            </w:r>
          </w:p>
        </w:tc>
        <w:tc>
          <w:tcPr>
            <w:tcW w:w="6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10</w:t>
            </w: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发行保障措施：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对宏观市场分析，近期利率走势，本期债券定价，及余额包销能力相关措施</w:t>
            </w:r>
          </w:p>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1.措施完善、合理可行，能较好的满足本项目要求得8-10分；</w:t>
            </w:r>
          </w:p>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2.较合理完善，可行性一般，能满足本项目要求得6-8分；</w:t>
            </w:r>
          </w:p>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3.合理性一般，可操作性一般得 6分；</w:t>
            </w:r>
          </w:p>
          <w:p>
            <w:pPr>
              <w:pStyle w:val="16"/>
              <w:ind w:left="0" w:leftChars="0" w:firstLine="0" w:firstLineChars="0"/>
              <w:rPr>
                <w:rFonts w:hint="eastAsia"/>
                <w:highlight w:val="none"/>
              </w:rPr>
            </w:pPr>
            <w:r>
              <w:rPr>
                <w:rFonts w:hint="eastAsia" w:ascii="宋体" w:hAnsi="宋体" w:cs="宋体"/>
                <w:i w:val="0"/>
                <w:iCs w:val="0"/>
                <w:color w:val="auto"/>
                <w:kern w:val="0"/>
                <w:sz w:val="21"/>
                <w:szCs w:val="21"/>
                <w:highlight w:val="none"/>
                <w:u w:val="none"/>
                <w:lang w:val="en-US" w:eastAsia="zh-CN" w:bidi="ar"/>
              </w:rPr>
              <w:t>缺项或</w:t>
            </w:r>
            <w:r>
              <w:rPr>
                <w:rFonts w:hint="eastAsia" w:ascii="宋体" w:hAnsi="宋体" w:eastAsia="宋体" w:cs="宋体"/>
                <w:i w:val="0"/>
                <w:iCs w:val="0"/>
                <w:color w:val="auto"/>
                <w:kern w:val="0"/>
                <w:sz w:val="21"/>
                <w:szCs w:val="21"/>
                <w:highlight w:val="none"/>
                <w:u w:val="none"/>
                <w:lang w:val="en-US" w:eastAsia="zh-CN" w:bidi="ar"/>
              </w:rPr>
              <w:t>合理性欠佳得0分。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服务及存续期管理措施</w:t>
            </w:r>
          </w:p>
        </w:tc>
        <w:tc>
          <w:tcPr>
            <w:tcW w:w="6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10</w:t>
            </w: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服务及存续期管理措施：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1.措施完善、合理可行，能较好的满足本项目要求得8-10分；</w:t>
            </w:r>
          </w:p>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 xml:space="preserve">2.较合理完善，可行性一般，能满足本项目要求得6-8分； </w:t>
            </w:r>
          </w:p>
          <w:p>
            <w:pPr>
              <w:keepNext w:val="0"/>
              <w:keepLines w:val="0"/>
              <w:widowControl/>
              <w:suppressLineNumbers w:val="0"/>
              <w:jc w:val="left"/>
              <w:textAlignment w:val="center"/>
              <w:rPr>
                <w:rFonts w:hint="eastAsia"/>
                <w:highlight w:val="none"/>
                <w:lang w:val="en-US" w:eastAsia="zh-CN"/>
              </w:rPr>
            </w:pPr>
            <w:r>
              <w:rPr>
                <w:rFonts w:hint="eastAsia"/>
                <w:highlight w:val="none"/>
                <w:lang w:val="en-US" w:eastAsia="zh-CN"/>
              </w:rPr>
              <w:t>3.合理性一般，可操作性一般得6分。</w:t>
            </w:r>
          </w:p>
          <w:p>
            <w:pPr>
              <w:pStyle w:val="16"/>
              <w:ind w:left="0" w:leftChars="0" w:firstLine="0" w:firstLineChars="0"/>
              <w:rPr>
                <w:rFonts w:hint="eastAsia"/>
                <w:highlight w:val="none"/>
              </w:rPr>
            </w:pPr>
            <w:r>
              <w:rPr>
                <w:rFonts w:hint="eastAsia" w:ascii="宋体" w:hAnsi="宋体" w:cs="宋体"/>
                <w:i w:val="0"/>
                <w:iCs w:val="0"/>
                <w:color w:val="auto"/>
                <w:kern w:val="0"/>
                <w:sz w:val="21"/>
                <w:szCs w:val="21"/>
                <w:highlight w:val="none"/>
                <w:u w:val="none"/>
                <w:lang w:val="en-US" w:eastAsia="zh-CN" w:bidi="ar"/>
              </w:rPr>
              <w:t>缺项或</w:t>
            </w:r>
            <w:r>
              <w:rPr>
                <w:rFonts w:hint="eastAsia" w:ascii="宋体" w:hAnsi="宋体" w:eastAsia="宋体" w:cs="宋体"/>
                <w:i w:val="0"/>
                <w:iCs w:val="0"/>
                <w:color w:val="auto"/>
                <w:kern w:val="0"/>
                <w:sz w:val="21"/>
                <w:szCs w:val="21"/>
                <w:highlight w:val="none"/>
                <w:u w:val="none"/>
                <w:lang w:val="en-US" w:eastAsia="zh-CN" w:bidi="ar"/>
              </w:rPr>
              <w:t>合理性欠佳得0分。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评</w:t>
            </w:r>
            <w:r>
              <w:rPr>
                <w:rFonts w:hint="eastAsia" w:ascii="宋体" w:hAnsi="宋体" w:cs="宋体"/>
                <w:i w:val="0"/>
                <w:iCs w:val="0"/>
                <w:color w:val="auto"/>
                <w:kern w:val="0"/>
                <w:sz w:val="21"/>
                <w:szCs w:val="21"/>
                <w:highlight w:val="none"/>
                <w:u w:val="none"/>
                <w:lang w:val="en-US" w:eastAsia="zh-CN" w:bidi="ar"/>
              </w:rPr>
              <w:t>标</w:t>
            </w:r>
            <w:r>
              <w:rPr>
                <w:rFonts w:hint="eastAsia" w:ascii="宋体" w:hAnsi="宋体" w:eastAsia="宋体" w:cs="宋体"/>
                <w:i w:val="0"/>
                <w:iCs w:val="0"/>
                <w:color w:val="auto"/>
                <w:kern w:val="0"/>
                <w:sz w:val="21"/>
                <w:szCs w:val="21"/>
                <w:highlight w:val="none"/>
                <w:u w:val="none"/>
                <w:lang w:val="en-US" w:eastAsia="zh-CN" w:bidi="ar"/>
              </w:rPr>
              <w:t>价</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0分</w:t>
            </w:r>
          </w:p>
        </w:tc>
        <w:tc>
          <w:tcPr>
            <w:tcW w:w="80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得分计算公式：</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本次报价上限为不超过0.05%/年（含），超过报价上限为无效报价。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80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（1）如果投标人的</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，则</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得分=F-（投标人</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一</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）×10000×E1；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80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（2）如果投标人的</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，则</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得分=F+（投标人</w:t>
            </w:r>
            <w:r>
              <w:rPr>
                <w:rFonts w:hint="eastAsia" w:ascii="宋体" w:hAnsi="宋体" w:cs="宋体"/>
                <w:i w:val="0"/>
                <w:iCs w:val="0"/>
                <w:color w:val="auto"/>
                <w:kern w:val="0"/>
                <w:sz w:val="21"/>
                <w:szCs w:val="21"/>
                <w:highlight w:val="none"/>
                <w:u w:val="none"/>
                <w:lang w:val="en-US" w:eastAsia="zh-CN" w:bidi="ar"/>
              </w:rPr>
              <w:t>评标价</w:t>
            </w:r>
            <w:r>
              <w:rPr>
                <w:rFonts w:hint="eastAsia" w:ascii="宋体" w:hAnsi="宋体" w:eastAsia="宋体" w:cs="宋体"/>
                <w:i w:val="0"/>
                <w:iCs w:val="0"/>
                <w:color w:val="auto"/>
                <w:kern w:val="0"/>
                <w:sz w:val="21"/>
                <w:szCs w:val="21"/>
                <w:highlight w:val="none"/>
                <w:u w:val="none"/>
                <w:lang w:val="en-US" w:eastAsia="zh-CN" w:bidi="ar"/>
              </w:rPr>
              <w:t>一</w:t>
            </w:r>
            <w:r>
              <w:rPr>
                <w:rFonts w:hint="eastAsia" w:ascii="宋体" w:hAnsi="宋体" w:cs="宋体"/>
                <w:i w:val="0"/>
                <w:iCs w:val="0"/>
                <w:color w:val="auto"/>
                <w:kern w:val="0"/>
                <w:sz w:val="21"/>
                <w:szCs w:val="21"/>
                <w:highlight w:val="none"/>
                <w:u w:val="none"/>
                <w:lang w:val="en-US" w:eastAsia="zh-CN" w:bidi="ar"/>
              </w:rPr>
              <w:t>评标基准价</w:t>
            </w:r>
            <w:r>
              <w:rPr>
                <w:rFonts w:hint="eastAsia" w:ascii="宋体" w:hAnsi="宋体" w:eastAsia="宋体" w:cs="宋体"/>
                <w:i w:val="0"/>
                <w:iCs w:val="0"/>
                <w:color w:val="auto"/>
                <w:kern w:val="0"/>
                <w:sz w:val="21"/>
                <w:szCs w:val="21"/>
                <w:highlight w:val="none"/>
                <w:u w:val="none"/>
                <w:lang w:val="en-US" w:eastAsia="zh-CN" w:bidi="ar"/>
              </w:rPr>
              <w:t>）×10000×E2。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80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其中，F=30；E1=0.2；E2=0.1；（报价不得违背《非金融企业债务融资工具承销机构自律公约》相关要求）</w:t>
            </w:r>
          </w:p>
          <w:p>
            <w:pPr>
              <w:pStyle w:val="16"/>
              <w:ind w:left="0" w:leftChars="0" w:firstLine="0" w:firstLineChars="0"/>
              <w:rPr>
                <w:rFonts w:hint="eastAsia"/>
                <w:color w:val="auto"/>
                <w:highlight w:val="none"/>
              </w:rPr>
            </w:pPr>
            <w:r>
              <w:rPr>
                <w:rFonts w:hint="eastAsia" w:ascii="宋体" w:hAnsi="宋体" w:eastAsia="宋体" w:cs="宋体"/>
                <w:color w:val="auto"/>
                <w:sz w:val="21"/>
                <w:szCs w:val="21"/>
                <w:highlight w:val="none"/>
              </w:rPr>
              <w:t>评标价</w:t>
            </w:r>
            <w:r>
              <w:rPr>
                <w:rFonts w:hint="eastAsia" w:ascii="宋体" w:hAnsi="宋体" w:eastAsia="宋体" w:cs="宋体"/>
                <w:color w:val="auto"/>
                <w:sz w:val="21"/>
                <w:szCs w:val="21"/>
                <w:highlight w:val="none"/>
                <w:lang w:val="en-US" w:eastAsia="zh-CN"/>
              </w:rPr>
              <w:t>得分</w:t>
            </w:r>
            <w:r>
              <w:rPr>
                <w:rFonts w:hint="eastAsia" w:ascii="宋体" w:hAnsi="宋体" w:eastAsia="宋体" w:cs="宋体"/>
                <w:color w:val="auto"/>
                <w:sz w:val="21"/>
                <w:szCs w:val="21"/>
                <w:highlight w:val="none"/>
              </w:rPr>
              <w:t>保留小数点后两位，小数点后第三位四舍五入</w:t>
            </w:r>
          </w:p>
        </w:tc>
      </w:tr>
      <w:bookmarkEnd w:id="8"/>
    </w:tbl>
    <w:p>
      <w:pPr>
        <w:rPr>
          <w:rFonts w:hint="eastAsia"/>
          <w:color w:val="auto"/>
          <w:highlight w:val="none"/>
          <w:lang w:eastAsia="zh-CN"/>
        </w:rPr>
      </w:pPr>
      <w:r>
        <w:rPr>
          <w:rFonts w:hint="eastAsia" w:ascii="宋体" w:hAnsi="宋体" w:cs="宋体"/>
          <w:bCs/>
          <w:color w:val="auto"/>
          <w:highlight w:val="none"/>
        </w:rPr>
        <w:t>详细评审因素</w:t>
      </w:r>
      <w:r>
        <w:rPr>
          <w:rFonts w:hint="eastAsia" w:ascii="宋体" w:hAnsi="宋体" w:cs="宋体"/>
          <w:bCs/>
          <w:color w:val="auto"/>
          <w:kern w:val="0"/>
          <w:szCs w:val="21"/>
          <w:highlight w:val="none"/>
        </w:rPr>
        <w:t>注解：各评分因素得分以</w:t>
      </w:r>
      <w:r>
        <w:rPr>
          <w:rFonts w:hint="eastAsia" w:ascii="宋体" w:hAnsi="宋体" w:cs="宋体"/>
          <w:bCs/>
          <w:color w:val="auto"/>
          <w:kern w:val="0"/>
          <w:szCs w:val="21"/>
          <w:highlight w:val="none"/>
          <w:lang w:eastAsia="zh-CN"/>
        </w:rPr>
        <w:t>评标</w:t>
      </w:r>
      <w:r>
        <w:rPr>
          <w:rFonts w:hint="eastAsia" w:ascii="宋体" w:hAnsi="宋体" w:cs="宋体"/>
          <w:bCs/>
          <w:color w:val="auto"/>
          <w:kern w:val="0"/>
          <w:szCs w:val="21"/>
          <w:highlight w:val="none"/>
        </w:rPr>
        <w:t>委员会各成员打分的算术平均值确定(打分保留一位小数，计算得分保留两位小数，第三位四舍五入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7E36E"/>
    <w:multiLevelType w:val="multilevel"/>
    <w:tmpl w:val="0047E36E"/>
    <w:lvl w:ilvl="0" w:tentative="0">
      <w:start w:val="1"/>
      <w:numFmt w:val="chineseCountingThousand"/>
      <w:pStyle w:val="3"/>
      <w:suff w:val="space"/>
      <w:lvlText w:val="%1、"/>
      <w:lvlJc w:val="left"/>
      <w:pPr>
        <w:ind w:left="0" w:firstLine="0"/>
      </w:pPr>
      <w:rPr>
        <w:rFonts w:hint="eastAsia"/>
        <w:b/>
        <w:i w:val="0"/>
      </w:rPr>
    </w:lvl>
    <w:lvl w:ilvl="1" w:tentative="0">
      <w:start w:val="1"/>
      <w:numFmt w:val="decimal"/>
      <w:suff w:val="space"/>
      <w:lvlText w:val="%2."/>
      <w:lvlJc w:val="left"/>
      <w:pPr>
        <w:ind w:left="0" w:firstLine="0"/>
      </w:pPr>
      <w:rPr>
        <w:rFonts w:hint="eastAsia"/>
        <w:b/>
        <w:i w:val="0"/>
      </w:rPr>
    </w:lvl>
    <w:lvl w:ilvl="2" w:tentative="0">
      <w:start w:val="1"/>
      <w:numFmt w:val="decimal"/>
      <w:suff w:val="space"/>
      <w:lvlText w:val="%2.%3"/>
      <w:lvlJc w:val="left"/>
      <w:pPr>
        <w:ind w:left="141" w:firstLine="0"/>
      </w:pPr>
      <w:rPr>
        <w:rFonts w:hint="eastAsia"/>
        <w:b/>
        <w:i w:val="0"/>
      </w:rPr>
    </w:lvl>
    <w:lvl w:ilvl="3" w:tentative="0">
      <w:start w:val="1"/>
      <w:numFmt w:val="decimal"/>
      <w:suff w:val="space"/>
      <w:lvlText w:val="%2.%3.%4"/>
      <w:lvlJc w:val="left"/>
      <w:pPr>
        <w:ind w:left="284" w:firstLine="0"/>
      </w:pPr>
      <w:rPr>
        <w:rFonts w:hint="eastAsia"/>
        <w:b/>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suff w:val="space"/>
      <w:lvlText w:val="%2.%3.%4.%5"/>
      <w:lvlJc w:val="left"/>
      <w:pPr>
        <w:ind w:left="0" w:firstLine="0"/>
      </w:pPr>
      <w:rPr>
        <w:rFonts w:hint="eastAsia"/>
        <w:b/>
        <w:i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DYxNTJjZmI2NmVkYTMyOWVjMGFiZjEzZGM5NjgifQ=="/>
  </w:docVars>
  <w:rsids>
    <w:rsidRoot w:val="156C6F2A"/>
    <w:rsid w:val="06AB107B"/>
    <w:rsid w:val="0ECD0571"/>
    <w:rsid w:val="11396325"/>
    <w:rsid w:val="14E0681B"/>
    <w:rsid w:val="156C6F2A"/>
    <w:rsid w:val="1760460B"/>
    <w:rsid w:val="1E4F62D6"/>
    <w:rsid w:val="1F40383D"/>
    <w:rsid w:val="279B48E7"/>
    <w:rsid w:val="2896660E"/>
    <w:rsid w:val="2AE8488E"/>
    <w:rsid w:val="2EDF2AFC"/>
    <w:rsid w:val="33664DBE"/>
    <w:rsid w:val="35A574B6"/>
    <w:rsid w:val="395E67BE"/>
    <w:rsid w:val="39F049E4"/>
    <w:rsid w:val="3ABF5F61"/>
    <w:rsid w:val="42286BD6"/>
    <w:rsid w:val="444E2F6B"/>
    <w:rsid w:val="4A1273D5"/>
    <w:rsid w:val="4B080D08"/>
    <w:rsid w:val="4C01529A"/>
    <w:rsid w:val="4ECD1ABD"/>
    <w:rsid w:val="528205B6"/>
    <w:rsid w:val="54904D90"/>
    <w:rsid w:val="620072A5"/>
    <w:rsid w:val="62A806BA"/>
    <w:rsid w:val="643F511A"/>
    <w:rsid w:val="6B3A43AC"/>
    <w:rsid w:val="7266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widowControl/>
      <w:numPr>
        <w:ilvl w:val="0"/>
        <w:numId w:val="1"/>
      </w:numPr>
      <w:spacing w:before="50" w:beforeLines="50" w:after="50" w:afterLines="50" w:line="360" w:lineRule="auto"/>
      <w:jc w:val="left"/>
      <w:outlineLvl w:val="0"/>
    </w:pPr>
    <w:rPr>
      <w:rFonts w:ascii="宋体" w:hAnsi="宋体" w:eastAsia="宋体" w:cs="宋体"/>
      <w:b/>
      <w:bCs/>
      <w:kern w:val="36"/>
      <w:sz w:val="32"/>
      <w:szCs w:val="32"/>
      <w:lang w:eastAsia="en-US"/>
    </w:rPr>
  </w:style>
  <w:style w:type="paragraph" w:styleId="4">
    <w:name w:val="heading 2"/>
    <w:basedOn w:val="1"/>
    <w:next w:val="1"/>
    <w:link w:val="19"/>
    <w:semiHidden/>
    <w:unhideWhenUsed/>
    <w:qFormat/>
    <w:uiPriority w:val="0"/>
    <w:pPr>
      <w:spacing w:line="360" w:lineRule="auto"/>
      <w:ind w:left="0"/>
      <w:jc w:val="center"/>
      <w:outlineLvl w:val="1"/>
    </w:pPr>
    <w:rPr>
      <w:rFonts w:ascii="宋体" w:hAnsi="宋体" w:eastAsia="宋体" w:cs="宋体"/>
      <w:b/>
      <w:sz w:val="32"/>
      <w:szCs w:val="30"/>
      <w:lang w:eastAsia="en-US"/>
    </w:rPr>
  </w:style>
  <w:style w:type="paragraph" w:styleId="5">
    <w:name w:val="heading 3"/>
    <w:basedOn w:val="1"/>
    <w:next w:val="1"/>
    <w:link w:val="21"/>
    <w:semiHidden/>
    <w:unhideWhenUsed/>
    <w:qFormat/>
    <w:uiPriority w:val="0"/>
    <w:pPr>
      <w:keepNext/>
      <w:widowControl/>
      <w:spacing w:line="360" w:lineRule="auto"/>
      <w:ind w:left="0"/>
      <w:jc w:val="left"/>
      <w:outlineLvl w:val="2"/>
    </w:pPr>
    <w:rPr>
      <w:rFonts w:ascii="宋体" w:hAnsi="宋体" w:eastAsia="宋体" w:cs="宋体"/>
      <w:b/>
      <w:bCs/>
      <w:sz w:val="24"/>
      <w:szCs w:val="24"/>
      <w:lang w:eastAsia="en-US"/>
    </w:rPr>
  </w:style>
  <w:style w:type="paragraph" w:styleId="6">
    <w:name w:val="heading 4"/>
    <w:basedOn w:val="1"/>
    <w:next w:val="1"/>
    <w:link w:val="22"/>
    <w:semiHidden/>
    <w:unhideWhenUsed/>
    <w:qFormat/>
    <w:uiPriority w:val="0"/>
    <w:pPr>
      <w:ind w:left="237"/>
      <w:outlineLvl w:val="3"/>
    </w:pPr>
    <w:rPr>
      <w:rFonts w:ascii="宋体" w:hAnsi="宋体" w:eastAsia="宋体" w:cs="Times New Roman"/>
      <w:b/>
      <w:sz w:val="28"/>
      <w:szCs w:val="28"/>
      <w:lang w:eastAsia="en-US"/>
    </w:rPr>
  </w:style>
  <w:style w:type="paragraph" w:styleId="7">
    <w:name w:val="heading 5"/>
    <w:basedOn w:val="1"/>
    <w:next w:val="1"/>
    <w:semiHidden/>
    <w:unhideWhenUsed/>
    <w:qFormat/>
    <w:uiPriority w:val="0"/>
    <w:pPr>
      <w:keepNext/>
      <w:keepLines/>
      <w:spacing w:beforeLines="0" w:beforeAutospacing="0" w:afterLines="0" w:afterAutospacing="0" w:line="360" w:lineRule="auto"/>
      <w:outlineLvl w:val="4"/>
    </w:pPr>
    <w:rPr>
      <w:rFonts w:ascii="宋体" w:hAnsi="宋体" w:cs="宋体" w:eastAsiaTheme="minorEastAsia"/>
      <w:b/>
      <w:sz w:val="24"/>
      <w:szCs w:val="24"/>
      <w:lang w:eastAsia="en-US"/>
    </w:rPr>
  </w:style>
  <w:style w:type="character" w:default="1" w:styleId="18">
    <w:name w:val="Default Paragraph Font"/>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table of authorities"/>
    <w:basedOn w:val="1"/>
    <w:next w:val="1"/>
    <w:qFormat/>
    <w:uiPriority w:val="99"/>
    <w:pPr>
      <w:spacing w:line="400" w:lineRule="exact"/>
      <w:ind w:firstLine="420" w:firstLineChars="200"/>
    </w:pPr>
    <w:rPr>
      <w:rFonts w:ascii="宋体" w:hAnsi="宋体" w:cs="宋体"/>
      <w:bCs/>
      <w:color w:val="000000"/>
      <w:sz w:val="21"/>
      <w:szCs w:val="21"/>
    </w:rPr>
  </w:style>
  <w:style w:type="paragraph" w:styleId="9">
    <w:name w:val="annotation text"/>
    <w:basedOn w:val="1"/>
    <w:next w:val="8"/>
    <w:qFormat/>
    <w:uiPriority w:val="0"/>
    <w:pPr>
      <w:jc w:val="left"/>
    </w:pPr>
  </w:style>
  <w:style w:type="paragraph" w:styleId="10">
    <w:name w:val="Body Text"/>
    <w:basedOn w:val="1"/>
    <w:next w:val="11"/>
    <w:qFormat/>
    <w:uiPriority w:val="0"/>
    <w:pPr>
      <w:spacing w:after="120"/>
    </w:pPr>
  </w:style>
  <w:style w:type="paragraph" w:customStyle="1" w:styleId="11">
    <w:name w:val="正文部分 Char Char Char"/>
    <w:basedOn w:val="10"/>
    <w:next w:val="12"/>
    <w:qFormat/>
    <w:uiPriority w:val="0"/>
    <w:pPr>
      <w:spacing w:line="460" w:lineRule="exact"/>
      <w:textAlignment w:val="baseline"/>
    </w:pPr>
    <w:rPr>
      <w:rFonts w:ascii="等线" w:hAnsi="等线" w:eastAsia="等线"/>
    </w:rPr>
  </w:style>
  <w:style w:type="paragraph" w:customStyle="1" w:styleId="12">
    <w:name w:val="章标题"/>
    <w:basedOn w:val="13"/>
    <w:qFormat/>
    <w:uiPriority w:val="0"/>
    <w:rPr>
      <w:rFonts w:ascii="等线" w:hAnsi="等线"/>
    </w:rPr>
  </w:style>
  <w:style w:type="paragraph" w:styleId="13">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4">
    <w:name w:val="Body Text Indent"/>
    <w:basedOn w:val="1"/>
    <w:next w:val="15"/>
    <w:qFormat/>
    <w:uiPriority w:val="0"/>
    <w:pPr>
      <w:spacing w:after="120"/>
      <w:ind w:left="200" w:leftChars="200"/>
    </w:pPr>
  </w:style>
  <w:style w:type="paragraph" w:styleId="15">
    <w:name w:val="toc 8"/>
    <w:basedOn w:val="1"/>
    <w:next w:val="1"/>
    <w:qFormat/>
    <w:uiPriority w:val="39"/>
    <w:pPr>
      <w:ind w:left="1470"/>
    </w:pPr>
    <w:rPr>
      <w:sz w:val="18"/>
      <w:szCs w:val="18"/>
    </w:rPr>
  </w:style>
  <w:style w:type="paragraph" w:styleId="16">
    <w:name w:val="Body Text First Indent 2"/>
    <w:basedOn w:val="14"/>
    <w:next w:val="9"/>
    <w:qFormat/>
    <w:uiPriority w:val="0"/>
    <w:pPr>
      <w:widowControl w:val="0"/>
      <w:ind w:firstLine="420" w:firstLineChars="200"/>
      <w:jc w:val="both"/>
    </w:pPr>
    <w:rPr>
      <w:rFonts w:cs="Times New Roman"/>
      <w:kern w:val="2"/>
      <w:sz w:val="21"/>
      <w:szCs w:val="24"/>
    </w:rPr>
  </w:style>
  <w:style w:type="character" w:customStyle="1" w:styleId="19">
    <w:name w:val="标题 2 Char"/>
    <w:basedOn w:val="18"/>
    <w:link w:val="4"/>
    <w:qFormat/>
    <w:uiPriority w:val="9"/>
    <w:rPr>
      <w:rFonts w:ascii="宋体" w:hAnsi="宋体" w:eastAsia="宋体" w:cs="宋体"/>
      <w:b/>
      <w:bCs/>
      <w:sz w:val="24"/>
      <w:szCs w:val="24"/>
      <w:lang w:eastAsia="en-US"/>
    </w:rPr>
  </w:style>
  <w:style w:type="character" w:customStyle="1" w:styleId="20">
    <w:name w:val="标题 1 Char"/>
    <w:basedOn w:val="18"/>
    <w:link w:val="3"/>
    <w:qFormat/>
    <w:uiPriority w:val="9"/>
    <w:rPr>
      <w:rFonts w:ascii="宋体" w:hAnsi="宋体" w:eastAsia="宋体" w:cs="宋体"/>
      <w:b/>
      <w:bCs/>
      <w:kern w:val="36"/>
      <w:sz w:val="32"/>
      <w:szCs w:val="32"/>
      <w:lang w:eastAsia="en-US"/>
    </w:rPr>
  </w:style>
  <w:style w:type="character" w:customStyle="1" w:styleId="21">
    <w:name w:val="标题 3 Char"/>
    <w:basedOn w:val="18"/>
    <w:link w:val="5"/>
    <w:qFormat/>
    <w:uiPriority w:val="9"/>
    <w:rPr>
      <w:rFonts w:ascii="宋体" w:hAnsi="宋体" w:eastAsia="宋体" w:cs="宋体"/>
      <w:b/>
      <w:bCs/>
      <w:kern w:val="0"/>
      <w:sz w:val="24"/>
      <w:szCs w:val="24"/>
      <w:lang w:eastAsia="en-US"/>
    </w:rPr>
  </w:style>
  <w:style w:type="character" w:customStyle="1" w:styleId="22">
    <w:name w:val="标题 4 字符"/>
    <w:link w:val="6"/>
    <w:qFormat/>
    <w:uiPriority w:val="0"/>
    <w:rPr>
      <w:rFonts w:ascii="宋体" w:hAnsi="宋体" w:eastAsia="宋体" w:cs="Times New Roman"/>
      <w:b/>
      <w:sz w:val="28"/>
      <w:szCs w:val="28"/>
      <w:lang w:eastAsia="en-US"/>
    </w:rPr>
  </w:style>
  <w:style w:type="character" w:customStyle="1" w:styleId="23">
    <w:name w:val="目录4 Char Char"/>
    <w:link w:val="24"/>
    <w:qFormat/>
    <w:uiPriority w:val="0"/>
    <w:rPr>
      <w:rFonts w:ascii="黑体" w:eastAsia="黑体"/>
      <w:sz w:val="24"/>
    </w:rPr>
  </w:style>
  <w:style w:type="paragraph" w:customStyle="1" w:styleId="24">
    <w:name w:val="目录4"/>
    <w:basedOn w:val="1"/>
    <w:link w:val="23"/>
    <w:qFormat/>
    <w:uiPriority w:val="0"/>
    <w:pPr>
      <w:spacing w:beforeLines="50" w:afterLines="50" w:line="400" w:lineRule="exact"/>
    </w:pPr>
    <w:rPr>
      <w:rFonts w:ascii="黑体" w:eastAsia="黑体"/>
      <w:sz w:val="24"/>
    </w:rPr>
  </w:style>
  <w:style w:type="paragraph" w:customStyle="1" w:styleId="25">
    <w:name w:val="1正文"/>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2024-08-23T00:54:00Z</dcterms:created>
  <dc:creator>代理</dc:creator>
  <cp:lastModifiedBy>李娜</cp:lastModifiedBy>
  <dcterms:modified xsi:type="dcterms:W3CDTF">2024-08-23T01:01:43Z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431943C6C6CA4EB099252E6B188BDC1C</vt:lpwstr>
  </property>
</Properties>
</file>