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adjustRightInd/>
        <w:snapToGrid/>
        <w:spacing w:after="0" w:line="400" w:lineRule="exact"/>
        <w:jc w:val="both"/>
        <w:outlineLvl w:val="2"/>
        <w:rPr>
          <w:rFonts w:ascii="宋体" w:hAnsi="宋体" w:eastAsia="宋体" w:cs="Times New Roman"/>
          <w:b/>
          <w:bCs/>
          <w:kern w:val="28"/>
          <w:sz w:val="28"/>
          <w:szCs w:val="28"/>
        </w:rPr>
      </w:pPr>
      <w:bookmarkStart w:id="0" w:name="_Toc144838350"/>
      <w:bookmarkStart w:id="1" w:name="_Toc134792338"/>
      <w:bookmarkStart w:id="2" w:name="_Toc13232"/>
      <w:bookmarkStart w:id="3" w:name="_Toc144837284"/>
      <w:bookmarkStart w:id="23" w:name="_GoBack"/>
      <w:bookmarkEnd w:id="23"/>
      <w:r>
        <w:rPr>
          <w:rFonts w:hint="eastAsia" w:ascii="宋体" w:hAnsi="宋体" w:eastAsia="宋体" w:cs="Times New Roman"/>
          <w:b/>
          <w:bCs/>
          <w:kern w:val="28"/>
          <w:sz w:val="28"/>
          <w:szCs w:val="28"/>
        </w:rPr>
        <w:t>附件1：资格审查条件</w:t>
      </w:r>
      <w:bookmarkEnd w:id="0"/>
      <w:bookmarkEnd w:id="1"/>
      <w:bookmarkEnd w:id="2"/>
      <w:bookmarkEnd w:id="3"/>
    </w:p>
    <w:p>
      <w:pPr>
        <w:widowControl w:val="0"/>
        <w:snapToGrid/>
        <w:spacing w:after="0" w:line="400" w:lineRule="exact"/>
        <w:jc w:val="center"/>
        <w:rPr>
          <w:rFonts w:ascii="宋体" w:hAnsi="宋体" w:eastAsia="宋体" w:cs="黑体"/>
          <w:bCs/>
          <w:kern w:val="28"/>
          <w:sz w:val="24"/>
          <w:szCs w:val="24"/>
        </w:rPr>
      </w:pPr>
    </w:p>
    <w:p>
      <w:pPr>
        <w:widowControl w:val="0"/>
        <w:snapToGrid/>
        <w:spacing w:after="0" w:line="400" w:lineRule="exact"/>
        <w:jc w:val="center"/>
        <w:rPr>
          <w:rFonts w:ascii="宋体" w:hAnsi="宋体" w:eastAsia="宋体" w:cs="黑体"/>
          <w:bCs/>
          <w:kern w:val="28"/>
          <w:sz w:val="24"/>
          <w:szCs w:val="24"/>
        </w:rPr>
      </w:pPr>
      <w:r>
        <w:rPr>
          <w:rFonts w:hint="eastAsia" w:ascii="宋体" w:hAnsi="宋体" w:eastAsia="宋体" w:cs="黑体"/>
          <w:bCs/>
          <w:kern w:val="28"/>
          <w:sz w:val="24"/>
          <w:szCs w:val="24"/>
        </w:rPr>
        <w:t xml:space="preserve">附录1  </w:t>
      </w:r>
      <w:r>
        <w:rPr>
          <w:rFonts w:hint="eastAsia" w:ascii="宋体" w:hAnsi="宋体" w:eastAsia="宋体" w:cs="黑体"/>
          <w:bCs/>
          <w:kern w:val="28"/>
          <w:sz w:val="24"/>
          <w:szCs w:val="20"/>
        </w:rPr>
        <w:t>资格</w:t>
      </w:r>
      <w:r>
        <w:rPr>
          <w:rFonts w:hint="eastAsia" w:ascii="宋体" w:hAnsi="宋体" w:eastAsia="宋体" w:cs="黑体"/>
          <w:bCs/>
          <w:kern w:val="28"/>
          <w:sz w:val="24"/>
          <w:szCs w:val="24"/>
        </w:rPr>
        <w:t>审查条件（资质最低要求）</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5000" w:type="pct"/>
            <w:vAlign w:val="center"/>
          </w:tcPr>
          <w:p>
            <w:pPr>
              <w:spacing w:after="0" w:line="400" w:lineRule="exact"/>
              <w:contextualSpacing/>
              <w:jc w:val="center"/>
              <w:rPr>
                <w:rFonts w:ascii="宋体" w:hAnsi="宋体" w:eastAsia="宋体" w:cs="宋体"/>
                <w:bCs/>
                <w:sz w:val="21"/>
                <w:szCs w:val="21"/>
              </w:rPr>
            </w:pPr>
            <w:r>
              <w:rPr>
                <w:rFonts w:hint="eastAsia" w:ascii="宋体" w:hAnsi="宋体" w:eastAsia="宋体" w:cs="宋体"/>
                <w:bCs/>
                <w:sz w:val="21"/>
                <w:szCs w:val="21"/>
              </w:rPr>
              <w:t>施工企业资质等级要求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5000" w:type="pct"/>
            <w:vAlign w:val="center"/>
          </w:tcPr>
          <w:p>
            <w:pPr>
              <w:widowControl w:val="0"/>
              <w:adjustRightInd/>
              <w:snapToGrid/>
              <w:spacing w:after="0" w:line="400" w:lineRule="exact"/>
              <w:ind w:firstLine="210" w:firstLineChars="100"/>
              <w:jc w:val="both"/>
              <w:rPr>
                <w:rFonts w:ascii="宋体" w:hAnsi="宋体" w:eastAsia="宋体" w:cs="Times New Roman"/>
                <w:bCs/>
                <w:kern w:val="28"/>
                <w:sz w:val="21"/>
                <w:szCs w:val="21"/>
              </w:rPr>
            </w:pPr>
            <w:r>
              <w:rPr>
                <w:rFonts w:hint="eastAsia" w:ascii="宋体" w:hAnsi="宋体" w:eastAsia="宋体" w:cs="Times New Roman"/>
                <w:bCs/>
                <w:kern w:val="28"/>
                <w:sz w:val="21"/>
                <w:szCs w:val="21"/>
              </w:rPr>
              <w:t>1、具有独立企业法人资格，持有有效的企业营业执照。</w:t>
            </w:r>
          </w:p>
          <w:p>
            <w:pPr>
              <w:widowControl w:val="0"/>
              <w:adjustRightInd/>
              <w:snapToGrid/>
              <w:spacing w:after="0" w:line="400" w:lineRule="exact"/>
              <w:ind w:firstLine="210" w:firstLineChars="100"/>
              <w:jc w:val="both"/>
              <w:rPr>
                <w:rFonts w:ascii="宋体" w:hAnsi="宋体" w:eastAsia="宋体" w:cs="Times New Roman"/>
                <w:bCs/>
                <w:kern w:val="28"/>
                <w:sz w:val="21"/>
                <w:szCs w:val="21"/>
              </w:rPr>
            </w:pPr>
            <w:r>
              <w:rPr>
                <w:rFonts w:hint="eastAsia" w:ascii="宋体" w:hAnsi="宋体" w:eastAsia="宋体" w:cs="Times New Roman"/>
                <w:bCs/>
                <w:kern w:val="28"/>
                <w:sz w:val="21"/>
                <w:szCs w:val="21"/>
              </w:rPr>
              <w:t>2、具有住房和城乡建设主管部门颁发的公路工程施工总承包</w:t>
            </w:r>
            <w:bookmarkStart w:id="4" w:name="OLE_LINK6"/>
            <w:bookmarkStart w:id="5" w:name="OLE_LINK7"/>
            <w:r>
              <w:rPr>
                <w:rFonts w:hint="eastAsia" w:ascii="宋体" w:hAnsi="宋体" w:eastAsia="宋体" w:cs="Times New Roman"/>
                <w:bCs/>
                <w:kern w:val="28"/>
                <w:sz w:val="21"/>
                <w:szCs w:val="21"/>
              </w:rPr>
              <w:t>壹</w:t>
            </w:r>
            <w:bookmarkEnd w:id="4"/>
            <w:bookmarkEnd w:id="5"/>
            <w:r>
              <w:rPr>
                <w:rFonts w:hint="eastAsia" w:ascii="宋体" w:hAnsi="宋体" w:eastAsia="宋体" w:cs="Times New Roman"/>
                <w:bCs/>
                <w:kern w:val="28"/>
                <w:sz w:val="21"/>
                <w:szCs w:val="21"/>
              </w:rPr>
              <w:t>级或以上资质。</w:t>
            </w:r>
          </w:p>
          <w:p>
            <w:pPr>
              <w:widowControl w:val="0"/>
              <w:adjustRightInd/>
              <w:snapToGrid/>
              <w:spacing w:after="0" w:line="400" w:lineRule="exact"/>
              <w:ind w:firstLine="210" w:firstLineChars="100"/>
              <w:jc w:val="both"/>
              <w:rPr>
                <w:rFonts w:ascii="宋体" w:hAnsi="宋体" w:eastAsia="宋体" w:cs="Times New Roman"/>
                <w:bCs/>
                <w:kern w:val="28"/>
                <w:sz w:val="21"/>
                <w:szCs w:val="21"/>
              </w:rPr>
            </w:pPr>
            <w:r>
              <w:rPr>
                <w:rFonts w:hint="eastAsia" w:ascii="宋体" w:hAnsi="宋体" w:eastAsia="宋体" w:cs="Times New Roman"/>
                <w:bCs/>
                <w:kern w:val="28"/>
                <w:sz w:val="21"/>
                <w:szCs w:val="21"/>
              </w:rPr>
              <w:t>3、具有住房和城乡建设主管部门颁发的建筑工程施工总承包叁级或以上资质。</w:t>
            </w:r>
          </w:p>
          <w:p>
            <w:pPr>
              <w:widowControl w:val="0"/>
              <w:adjustRightInd/>
              <w:snapToGrid/>
              <w:spacing w:after="0" w:line="400" w:lineRule="exact"/>
              <w:ind w:firstLine="210" w:firstLineChars="100"/>
              <w:jc w:val="both"/>
              <w:rPr>
                <w:rFonts w:ascii="宋体" w:hAnsi="宋体" w:eastAsia="宋体" w:cs="Times New Roman"/>
                <w:bCs/>
                <w:kern w:val="28"/>
                <w:sz w:val="21"/>
                <w:szCs w:val="21"/>
              </w:rPr>
            </w:pPr>
            <w:r>
              <w:rPr>
                <w:rFonts w:hint="eastAsia" w:ascii="宋体" w:hAnsi="宋体" w:eastAsia="宋体" w:cs="Times New Roman"/>
                <w:bCs/>
                <w:kern w:val="28"/>
                <w:sz w:val="21"/>
                <w:szCs w:val="21"/>
              </w:rPr>
              <w:t>4、具有住房和城乡建设主管部门颁发的公路交通工程专业承包（公路安全设施分项）壹级资质。</w:t>
            </w:r>
          </w:p>
          <w:p>
            <w:pPr>
              <w:widowControl w:val="0"/>
              <w:adjustRightInd/>
              <w:snapToGrid/>
              <w:spacing w:after="0" w:line="400" w:lineRule="exact"/>
              <w:ind w:firstLine="210" w:firstLineChars="100"/>
              <w:jc w:val="both"/>
              <w:rPr>
                <w:rFonts w:ascii="宋体" w:hAnsi="宋体" w:eastAsia="宋体" w:cs="Times New Roman"/>
                <w:bCs/>
                <w:kern w:val="28"/>
                <w:sz w:val="21"/>
                <w:szCs w:val="21"/>
              </w:rPr>
            </w:pPr>
            <w:r>
              <w:rPr>
                <w:rFonts w:hint="eastAsia" w:ascii="宋体" w:hAnsi="宋体" w:eastAsia="宋体" w:cs="Times New Roman"/>
                <w:bCs/>
                <w:kern w:val="28"/>
                <w:sz w:val="21"/>
                <w:szCs w:val="21"/>
              </w:rPr>
              <w:t>5、具有住房和城乡建设主管部门颁发的公路交通工程专业承包（公路机电工程分项）壹级资质。</w:t>
            </w:r>
          </w:p>
          <w:p>
            <w:pPr>
              <w:widowControl w:val="0"/>
              <w:adjustRightInd/>
              <w:snapToGrid/>
              <w:spacing w:after="0" w:line="400" w:lineRule="exact"/>
              <w:ind w:firstLine="210" w:firstLineChars="100"/>
              <w:jc w:val="both"/>
              <w:rPr>
                <w:rFonts w:ascii="宋体" w:hAnsi="宋体" w:eastAsia="宋体" w:cs="Times New Roman"/>
                <w:bCs/>
                <w:kern w:val="28"/>
                <w:sz w:val="21"/>
                <w:szCs w:val="21"/>
              </w:rPr>
            </w:pPr>
            <w:r>
              <w:rPr>
                <w:rFonts w:hint="eastAsia" w:ascii="宋体" w:hAnsi="宋体" w:eastAsia="宋体" w:cs="Times New Roman"/>
                <w:bCs/>
                <w:kern w:val="28"/>
                <w:sz w:val="21"/>
                <w:szCs w:val="21"/>
              </w:rPr>
              <w:t>6、具有住房和城乡建设主管部门颁发的有效的安全生产许可证。</w:t>
            </w:r>
          </w:p>
          <w:p>
            <w:pPr>
              <w:widowControl w:val="0"/>
              <w:adjustRightInd/>
              <w:snapToGrid/>
              <w:spacing w:after="0" w:line="400" w:lineRule="exact"/>
              <w:ind w:firstLine="210" w:firstLineChars="100"/>
              <w:jc w:val="both"/>
              <w:rPr>
                <w:rFonts w:ascii="宋体" w:hAnsi="宋体" w:eastAsia="宋体" w:cs="Times New Roman"/>
                <w:bCs/>
                <w:kern w:val="28"/>
                <w:sz w:val="21"/>
                <w:szCs w:val="21"/>
              </w:rPr>
            </w:pPr>
            <w:r>
              <w:rPr>
                <w:rFonts w:hint="eastAsia" w:ascii="宋体" w:hAnsi="宋体" w:eastAsia="宋体" w:cs="Times New Roman"/>
                <w:bCs/>
                <w:kern w:val="28"/>
                <w:sz w:val="21"/>
                <w:szCs w:val="21"/>
              </w:rPr>
              <w:t>7、以联合体形式投标的，联合体所有成员数量不得超过4家。</w:t>
            </w:r>
            <w:r>
              <w:rPr>
                <w:rFonts w:ascii="宋体" w:hAnsi="宋体" w:eastAsia="宋体" w:cs="Times New Roman"/>
                <w:bCs/>
                <w:kern w:val="28"/>
                <w:sz w:val="21"/>
                <w:szCs w:val="21"/>
              </w:rPr>
              <w:t>其中联合体牵头人应具备住房和城乡建设行政主管部门颁发</w:t>
            </w:r>
            <w:r>
              <w:rPr>
                <w:rFonts w:hint="eastAsia" w:ascii="宋体" w:hAnsi="宋体" w:eastAsia="宋体" w:cs="Times New Roman"/>
                <w:bCs/>
                <w:kern w:val="28"/>
                <w:sz w:val="21"/>
                <w:szCs w:val="21"/>
              </w:rPr>
              <w:t>的公路工程施工总承包壹级或以上资质</w:t>
            </w:r>
            <w:r>
              <w:rPr>
                <w:rFonts w:ascii="宋体" w:hAnsi="宋体" w:eastAsia="宋体" w:cs="Times New Roman"/>
                <w:bCs/>
                <w:kern w:val="28"/>
                <w:sz w:val="21"/>
                <w:szCs w:val="21"/>
              </w:rPr>
              <w:t>。</w:t>
            </w:r>
          </w:p>
        </w:tc>
      </w:tr>
    </w:tbl>
    <w:p>
      <w:pPr>
        <w:widowControl w:val="0"/>
        <w:snapToGrid/>
        <w:spacing w:after="0" w:line="400" w:lineRule="exact"/>
        <w:jc w:val="center"/>
        <w:rPr>
          <w:rFonts w:ascii="宋体" w:hAnsi="宋体" w:eastAsia="宋体" w:cs="黑体"/>
          <w:bCs/>
          <w:kern w:val="28"/>
          <w:sz w:val="24"/>
          <w:szCs w:val="24"/>
        </w:rPr>
      </w:pPr>
    </w:p>
    <w:p>
      <w:pPr>
        <w:widowControl w:val="0"/>
        <w:snapToGrid/>
        <w:spacing w:after="0" w:line="400" w:lineRule="exact"/>
        <w:jc w:val="center"/>
        <w:rPr>
          <w:rFonts w:ascii="宋体" w:hAnsi="宋体" w:eastAsia="宋体" w:cs="黑体"/>
          <w:bCs/>
          <w:kern w:val="28"/>
          <w:sz w:val="24"/>
          <w:szCs w:val="24"/>
        </w:rPr>
      </w:pPr>
      <w:r>
        <w:rPr>
          <w:rFonts w:hint="eastAsia" w:ascii="宋体" w:hAnsi="宋体" w:eastAsia="宋体" w:cs="黑体"/>
          <w:bCs/>
          <w:kern w:val="28"/>
          <w:sz w:val="24"/>
          <w:szCs w:val="24"/>
        </w:rPr>
        <w:t>附录2  资格审查条件（财务最低要求）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vAlign w:val="center"/>
          </w:tcPr>
          <w:p>
            <w:pPr>
              <w:widowControl w:val="0"/>
              <w:adjustRightInd/>
              <w:snapToGrid/>
              <w:spacing w:beforeLines="50" w:afterLines="50" w:line="400" w:lineRule="exact"/>
              <w:jc w:val="center"/>
              <w:rPr>
                <w:rFonts w:ascii="宋体" w:hAnsi="宋体" w:eastAsia="宋体" w:cs="Times New Roman"/>
                <w:bCs/>
                <w:kern w:val="2"/>
                <w:sz w:val="21"/>
                <w:szCs w:val="21"/>
              </w:rPr>
            </w:pPr>
            <w:r>
              <w:rPr>
                <w:rFonts w:hint="eastAsia" w:ascii="宋体" w:hAnsi="宋体" w:eastAsia="宋体" w:cs="Times New Roman"/>
                <w:bCs/>
                <w:kern w:val="2"/>
                <w:sz w:val="21"/>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5000" w:type="pct"/>
            <w:vAlign w:val="center"/>
          </w:tcPr>
          <w:p>
            <w:pPr>
              <w:widowControl w:val="0"/>
              <w:adjustRightInd/>
              <w:snapToGrid/>
              <w:spacing w:after="0" w:line="400" w:lineRule="exact"/>
              <w:ind w:firstLine="420" w:firstLineChars="200"/>
              <w:jc w:val="both"/>
              <w:rPr>
                <w:rFonts w:ascii="宋体" w:hAnsi="宋体" w:eastAsia="宋体" w:cs="Times New Roman"/>
                <w:bCs/>
                <w:kern w:val="2"/>
                <w:sz w:val="21"/>
                <w:szCs w:val="21"/>
              </w:rPr>
            </w:pPr>
            <w:r>
              <w:rPr>
                <w:rFonts w:hint="eastAsia" w:ascii="宋体" w:hAnsi="宋体" w:eastAsia="宋体" w:cs="Times New Roman"/>
                <w:bCs/>
                <w:kern w:val="2"/>
                <w:sz w:val="21"/>
                <w:szCs w:val="21"/>
              </w:rPr>
              <w:t>1、为本合同所提供的营运资金（以经会计师事务所或审计机构审计的最新财务报表（2023年度）中：营运资金＝流动资产－流动负债，以年末数计算）以及为本合同而专门开具的银行信贷证明（营运资金满足条件的，无需提供银行信贷证明），总和不得少于2000万元。</w:t>
            </w:r>
          </w:p>
          <w:p>
            <w:pPr>
              <w:widowControl w:val="0"/>
              <w:adjustRightInd/>
              <w:snapToGrid/>
              <w:spacing w:after="0" w:line="400" w:lineRule="exact"/>
              <w:ind w:firstLine="420" w:firstLineChars="200"/>
              <w:jc w:val="both"/>
              <w:rPr>
                <w:rFonts w:ascii="宋体" w:hAnsi="宋体" w:eastAsia="宋体" w:cs="Times New Roman"/>
                <w:bCs/>
                <w:kern w:val="2"/>
                <w:sz w:val="21"/>
                <w:szCs w:val="21"/>
              </w:rPr>
            </w:pPr>
            <w:r>
              <w:rPr>
                <w:rFonts w:hint="eastAsia" w:ascii="宋体" w:hAnsi="宋体" w:eastAsia="宋体" w:cs="Times New Roman"/>
                <w:bCs/>
                <w:kern w:val="2"/>
                <w:sz w:val="21"/>
                <w:szCs w:val="21"/>
              </w:rPr>
              <w:t>2、</w:t>
            </w:r>
            <w:r>
              <w:rPr>
                <w:rFonts w:ascii="宋体" w:hAnsi="宋体" w:eastAsia="宋体" w:cs="Times New Roman"/>
                <w:bCs/>
                <w:kern w:val="2"/>
                <w:sz w:val="21"/>
                <w:szCs w:val="21"/>
              </w:rPr>
              <w:t>以联合体形式投标的，联合体牵头人应满足第</w:t>
            </w:r>
            <w:r>
              <w:rPr>
                <w:rFonts w:hint="eastAsia" w:ascii="宋体" w:hAnsi="宋体" w:eastAsia="宋体" w:cs="Times New Roman"/>
                <w:bCs/>
                <w:kern w:val="2"/>
                <w:sz w:val="21"/>
                <w:szCs w:val="21"/>
              </w:rPr>
              <w:t>1</w:t>
            </w:r>
            <w:r>
              <w:rPr>
                <w:rFonts w:ascii="宋体" w:hAnsi="宋体" w:eastAsia="宋体" w:cs="Times New Roman"/>
                <w:bCs/>
                <w:kern w:val="2"/>
                <w:sz w:val="21"/>
                <w:szCs w:val="21"/>
              </w:rPr>
              <w:t>项规定的资格条件。</w:t>
            </w:r>
          </w:p>
        </w:tc>
      </w:tr>
    </w:tbl>
    <w:p>
      <w:pPr>
        <w:widowControl w:val="0"/>
        <w:snapToGrid/>
        <w:spacing w:after="0" w:line="400" w:lineRule="exact"/>
        <w:jc w:val="center"/>
        <w:rPr>
          <w:rFonts w:ascii="宋体" w:hAnsi="宋体" w:eastAsia="宋体" w:cs="Times New Roman"/>
          <w:kern w:val="28"/>
          <w:sz w:val="28"/>
          <w:szCs w:val="20"/>
        </w:rPr>
      </w:pPr>
    </w:p>
    <w:p>
      <w:pPr>
        <w:widowControl w:val="0"/>
        <w:snapToGrid/>
        <w:spacing w:after="0" w:line="400" w:lineRule="exact"/>
        <w:jc w:val="center"/>
        <w:rPr>
          <w:rFonts w:ascii="宋体" w:hAnsi="宋体" w:eastAsia="宋体" w:cs="黑体"/>
          <w:bCs/>
          <w:kern w:val="28"/>
          <w:sz w:val="24"/>
          <w:szCs w:val="24"/>
        </w:rPr>
      </w:pPr>
      <w:r>
        <w:rPr>
          <w:rFonts w:hint="eastAsia" w:ascii="宋体" w:hAnsi="宋体" w:eastAsia="宋体" w:cs="黑体"/>
          <w:bCs/>
          <w:kern w:val="28"/>
          <w:sz w:val="24"/>
          <w:szCs w:val="24"/>
        </w:rPr>
        <w:t>附录3  资格审查条件（业绩最低要求）</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5000"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ascii="宋体" w:hAnsi="宋体" w:eastAsia="宋体" w:cs="Times New Roman"/>
                <w:bCs/>
                <w:kern w:val="2"/>
                <w:sz w:val="21"/>
                <w:szCs w:val="24"/>
              </w:rPr>
            </w:pPr>
            <w:r>
              <w:rPr>
                <w:rFonts w:hint="eastAsia" w:ascii="宋体" w:hAnsi="宋体" w:eastAsia="宋体" w:cs="Times New Roman"/>
                <w:bCs/>
                <w:kern w:val="2"/>
                <w:sz w:val="21"/>
                <w:szCs w:val="24"/>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0" w:hRule="atLeast"/>
        </w:trPr>
        <w:tc>
          <w:tcPr>
            <w:tcW w:w="5000"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ind w:firstLine="210" w:firstLineChars="100"/>
              <w:jc w:val="both"/>
              <w:rPr>
                <w:rFonts w:ascii="宋体" w:hAnsi="宋体" w:eastAsia="宋体" w:cs="Times New Roman"/>
                <w:bCs/>
                <w:kern w:val="2"/>
                <w:sz w:val="21"/>
                <w:szCs w:val="21"/>
              </w:rPr>
            </w:pPr>
            <w:r>
              <w:rPr>
                <w:rFonts w:hint="eastAsia" w:ascii="宋体" w:hAnsi="宋体" w:eastAsia="宋体" w:cs="Times New Roman"/>
                <w:bCs/>
                <w:kern w:val="2"/>
                <w:sz w:val="21"/>
                <w:szCs w:val="21"/>
              </w:rPr>
              <w:t>1、近5年（2019年10月1日至投标截止时间，</w:t>
            </w:r>
            <w:bookmarkStart w:id="6" w:name="OLE_LINK15"/>
            <w:bookmarkStart w:id="7" w:name="OLE_LINK10"/>
            <w:bookmarkStart w:id="8" w:name="OLE_LINK11"/>
            <w:r>
              <w:rPr>
                <w:rFonts w:hint="eastAsia" w:ascii="宋体" w:hAnsi="宋体" w:eastAsia="宋体" w:cs="Times New Roman"/>
                <w:bCs/>
                <w:kern w:val="2"/>
                <w:sz w:val="21"/>
                <w:szCs w:val="21"/>
              </w:rPr>
              <w:t>以交工日期为准</w:t>
            </w:r>
            <w:bookmarkEnd w:id="6"/>
            <w:bookmarkEnd w:id="7"/>
            <w:bookmarkEnd w:id="8"/>
            <w:r>
              <w:rPr>
                <w:rFonts w:hint="eastAsia" w:ascii="宋体" w:hAnsi="宋体" w:eastAsia="宋体" w:cs="Times New Roman"/>
                <w:bCs/>
                <w:kern w:val="2"/>
                <w:sz w:val="21"/>
                <w:szCs w:val="21"/>
              </w:rPr>
              <w:t>）至少完成过一项</w:t>
            </w:r>
            <w:bookmarkStart w:id="9" w:name="OLE_LINK12"/>
            <w:r>
              <w:rPr>
                <w:rFonts w:hint="eastAsia" w:ascii="宋体" w:hAnsi="宋体" w:eastAsia="宋体" w:cs="Times New Roman"/>
                <w:bCs/>
                <w:kern w:val="2"/>
                <w:sz w:val="21"/>
                <w:szCs w:val="21"/>
              </w:rPr>
              <w:t>合同金额不小于1亿元</w:t>
            </w:r>
            <w:bookmarkEnd w:id="9"/>
            <w:r>
              <w:rPr>
                <w:rFonts w:hint="eastAsia" w:ascii="宋体" w:hAnsi="宋体" w:eastAsia="宋体" w:cs="Times New Roman"/>
                <w:bCs/>
                <w:kern w:val="2"/>
                <w:sz w:val="21"/>
                <w:szCs w:val="21"/>
              </w:rPr>
              <w:t>的新建或改扩建高速公路工程施工项目。</w:t>
            </w:r>
          </w:p>
          <w:p>
            <w:pPr>
              <w:widowControl w:val="0"/>
              <w:adjustRightInd/>
              <w:snapToGrid/>
              <w:spacing w:after="0" w:line="400" w:lineRule="exact"/>
              <w:ind w:firstLine="210" w:firstLineChars="100"/>
              <w:jc w:val="both"/>
              <w:rPr>
                <w:rFonts w:ascii="宋体" w:hAnsi="宋体" w:eastAsia="宋体" w:cs="Times New Roman"/>
                <w:bCs/>
                <w:kern w:val="2"/>
                <w:sz w:val="21"/>
                <w:szCs w:val="21"/>
              </w:rPr>
            </w:pPr>
            <w:r>
              <w:rPr>
                <w:rFonts w:hint="eastAsia" w:ascii="宋体" w:hAnsi="宋体" w:eastAsia="宋体" w:cs="Times New Roman"/>
                <w:bCs/>
                <w:kern w:val="2"/>
                <w:sz w:val="21"/>
                <w:szCs w:val="21"/>
              </w:rPr>
              <w:t>2、近5年（2019年10月1日至投标截止时间，以竣&lt;交&gt;工为日期为准）</w:t>
            </w:r>
            <w:bookmarkStart w:id="10" w:name="OLE_LINK16"/>
            <w:bookmarkStart w:id="11" w:name="OLE_LINK17"/>
            <w:r>
              <w:rPr>
                <w:rFonts w:hint="eastAsia" w:ascii="宋体" w:hAnsi="宋体" w:eastAsia="宋体" w:cs="Times New Roman"/>
                <w:bCs/>
                <w:kern w:val="2"/>
                <w:sz w:val="21"/>
                <w:szCs w:val="21"/>
              </w:rPr>
              <w:t>至少</w:t>
            </w:r>
            <w:bookmarkEnd w:id="10"/>
            <w:bookmarkEnd w:id="11"/>
            <w:r>
              <w:rPr>
                <w:rFonts w:hint="eastAsia" w:ascii="宋体" w:hAnsi="宋体" w:eastAsia="宋体" w:cs="Times New Roman"/>
                <w:bCs/>
                <w:kern w:val="2"/>
                <w:sz w:val="21"/>
                <w:szCs w:val="21"/>
              </w:rPr>
              <w:t>完成过一项合同金额不小于1000万元的房建工程施工项目。</w:t>
            </w:r>
          </w:p>
          <w:p>
            <w:pPr>
              <w:widowControl w:val="0"/>
              <w:adjustRightInd/>
              <w:snapToGrid/>
              <w:spacing w:after="0" w:line="400" w:lineRule="exact"/>
              <w:ind w:firstLine="210" w:firstLineChars="100"/>
              <w:jc w:val="both"/>
              <w:rPr>
                <w:rFonts w:ascii="宋体" w:hAnsi="宋体" w:eastAsia="宋体" w:cs="Times New Roman"/>
                <w:bCs/>
                <w:kern w:val="2"/>
                <w:sz w:val="21"/>
                <w:szCs w:val="21"/>
              </w:rPr>
            </w:pPr>
            <w:r>
              <w:rPr>
                <w:rFonts w:hint="eastAsia" w:ascii="宋体" w:hAnsi="宋体" w:eastAsia="宋体" w:cs="Times New Roman"/>
                <w:bCs/>
                <w:kern w:val="2"/>
                <w:sz w:val="21"/>
                <w:szCs w:val="21"/>
              </w:rPr>
              <w:t>3、近5年（2019年10月1日至投标截止时间，以交工日期为准）至少完成过一项</w:t>
            </w:r>
            <w:bookmarkStart w:id="12" w:name="OLE_LINK14"/>
            <w:bookmarkStart w:id="13" w:name="OLE_LINK13"/>
            <w:r>
              <w:rPr>
                <w:rFonts w:hint="eastAsia" w:ascii="宋体" w:hAnsi="宋体" w:eastAsia="宋体" w:cs="Times New Roman"/>
                <w:bCs/>
                <w:kern w:val="2"/>
                <w:sz w:val="21"/>
                <w:szCs w:val="21"/>
              </w:rPr>
              <w:t>合同金额不小于1000万元</w:t>
            </w:r>
            <w:bookmarkEnd w:id="12"/>
            <w:bookmarkEnd w:id="13"/>
            <w:r>
              <w:rPr>
                <w:rFonts w:hint="eastAsia" w:ascii="宋体" w:hAnsi="宋体" w:eastAsia="宋体" w:cs="Times New Roman"/>
                <w:bCs/>
                <w:kern w:val="2"/>
                <w:sz w:val="21"/>
                <w:szCs w:val="21"/>
              </w:rPr>
              <w:t>的新建或改扩建高速公路机电工程（须同时包含监控、通信、收费三大系统）施工项目。</w:t>
            </w:r>
          </w:p>
          <w:p>
            <w:pPr>
              <w:widowControl w:val="0"/>
              <w:adjustRightInd/>
              <w:snapToGrid/>
              <w:spacing w:after="0" w:line="400" w:lineRule="exact"/>
              <w:ind w:firstLine="210" w:firstLineChars="100"/>
              <w:jc w:val="both"/>
              <w:rPr>
                <w:rFonts w:ascii="宋体" w:hAnsi="宋体" w:eastAsia="宋体" w:cs="Times New Roman"/>
                <w:bCs/>
                <w:kern w:val="28"/>
                <w:sz w:val="21"/>
                <w:szCs w:val="21"/>
              </w:rPr>
            </w:pPr>
            <w:r>
              <w:rPr>
                <w:rFonts w:hint="eastAsia" w:ascii="宋体" w:hAnsi="宋体" w:eastAsia="宋体" w:cs="Times New Roman"/>
                <w:bCs/>
                <w:kern w:val="2"/>
                <w:sz w:val="21"/>
                <w:szCs w:val="21"/>
              </w:rPr>
              <w:t>注：以联合体形式投标的，联合体应满足本项规定的资格条件。</w:t>
            </w:r>
          </w:p>
        </w:tc>
      </w:tr>
    </w:tbl>
    <w:p>
      <w:pPr>
        <w:widowControl w:val="0"/>
        <w:adjustRightInd/>
        <w:snapToGrid/>
        <w:spacing w:after="0"/>
        <w:jc w:val="both"/>
        <w:rPr>
          <w:rFonts w:ascii="宋体" w:hAnsi="宋体" w:eastAsia="宋体" w:cs="黑体"/>
          <w:bCs/>
          <w:kern w:val="2"/>
          <w:sz w:val="24"/>
          <w:szCs w:val="24"/>
        </w:rPr>
      </w:pPr>
      <w:r>
        <w:rPr>
          <w:rFonts w:ascii="宋体" w:hAnsi="宋体" w:eastAsia="宋体" w:cs="Times New Roman"/>
          <w:kern w:val="2"/>
          <w:sz w:val="28"/>
          <w:szCs w:val="24"/>
        </w:rPr>
        <w:br w:type="page"/>
      </w:r>
      <w:r>
        <w:rPr>
          <w:rFonts w:hint="eastAsia" w:ascii="宋体" w:hAnsi="宋体" w:eastAsia="宋体" w:cs="黑体"/>
          <w:bCs/>
          <w:kern w:val="2"/>
          <w:sz w:val="24"/>
          <w:szCs w:val="24"/>
        </w:rPr>
        <w:t>附录4  资格审查条件（信誉最低要求）</w:t>
      </w:r>
    </w:p>
    <w:tbl>
      <w:tblPr>
        <w:tblStyle w:val="4"/>
        <w:tblW w:w="498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5000"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ascii="宋体" w:hAnsi="宋体" w:eastAsia="宋体" w:cs="Times New Roman"/>
                <w:bCs/>
                <w:kern w:val="2"/>
                <w:sz w:val="21"/>
                <w:szCs w:val="21"/>
              </w:rPr>
            </w:pPr>
            <w:r>
              <w:rPr>
                <w:rFonts w:hint="eastAsia" w:ascii="宋体" w:hAnsi="宋体" w:eastAsia="宋体" w:cs="Times New Roman"/>
                <w:bCs/>
                <w:kern w:val="2"/>
                <w:sz w:val="21"/>
                <w:szCs w:val="21"/>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000" w:type="pct"/>
            <w:vMerge w:val="restart"/>
            <w:tcBorders>
              <w:top w:val="single" w:color="auto" w:sz="4" w:space="0"/>
              <w:left w:val="single" w:color="auto" w:sz="4" w:space="0"/>
              <w:right w:val="single" w:color="auto" w:sz="4" w:space="0"/>
            </w:tcBorders>
            <w:vAlign w:val="center"/>
          </w:tcPr>
          <w:p>
            <w:pPr>
              <w:widowControl w:val="0"/>
              <w:adjustRightInd/>
              <w:snapToGrid/>
              <w:spacing w:after="0" w:line="400" w:lineRule="exact"/>
              <w:ind w:firstLine="420" w:firstLineChars="200"/>
              <w:jc w:val="both"/>
              <w:rPr>
                <w:rFonts w:ascii="宋体" w:hAnsi="宋体" w:eastAsia="宋体" w:cs="Times New Roman"/>
                <w:bCs/>
                <w:kern w:val="2"/>
                <w:sz w:val="21"/>
                <w:szCs w:val="21"/>
              </w:rPr>
            </w:pPr>
            <w:r>
              <w:rPr>
                <w:rFonts w:hint="eastAsia" w:ascii="宋体" w:hAnsi="宋体" w:eastAsia="宋体" w:cs="Times New Roman"/>
                <w:bCs/>
                <w:kern w:val="2"/>
                <w:sz w:val="21"/>
                <w:szCs w:val="21"/>
              </w:rPr>
              <w:t>投标人在过去一年（2023年10月1日至</w:t>
            </w:r>
            <w:r>
              <w:rPr>
                <w:rFonts w:hint="eastAsia" w:ascii="宋体" w:hAnsi="宋体" w:eastAsia="宋体" w:cs="Times New Roman"/>
                <w:bCs/>
                <w:kern w:val="28"/>
                <w:sz w:val="21"/>
                <w:szCs w:val="21"/>
              </w:rPr>
              <w:t>投标截止时间</w:t>
            </w:r>
            <w:r>
              <w:rPr>
                <w:rFonts w:hint="eastAsia" w:ascii="宋体" w:hAnsi="宋体" w:eastAsia="宋体" w:cs="Times New Roman"/>
                <w:bCs/>
                <w:kern w:val="2"/>
                <w:sz w:val="21"/>
                <w:szCs w:val="21"/>
              </w:rPr>
              <w:t>）中不曾在高速公路施工合同中违约而被驱逐或因投标人自身的原因而使高速公路施工合同被解除。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5000" w:type="pct"/>
            <w:vMerge w:val="continue"/>
            <w:tcBorders>
              <w:left w:val="single" w:color="auto" w:sz="4" w:space="0"/>
              <w:bottom w:val="single" w:color="auto" w:sz="4" w:space="0"/>
              <w:right w:val="single" w:color="auto" w:sz="4" w:space="0"/>
            </w:tcBorders>
            <w:vAlign w:val="center"/>
          </w:tcPr>
          <w:p>
            <w:pPr>
              <w:widowControl w:val="0"/>
              <w:adjustRightInd/>
              <w:snapToGrid/>
              <w:spacing w:after="0" w:line="400" w:lineRule="exact"/>
              <w:jc w:val="both"/>
              <w:rPr>
                <w:rFonts w:ascii="宋体" w:hAnsi="宋体" w:eastAsia="宋体" w:cs="Times New Roman"/>
                <w:bCs/>
                <w:kern w:val="2"/>
                <w:sz w:val="21"/>
                <w:szCs w:val="21"/>
              </w:rPr>
            </w:pPr>
          </w:p>
        </w:tc>
      </w:tr>
    </w:tbl>
    <w:p>
      <w:pPr>
        <w:widowControl w:val="0"/>
        <w:snapToGrid/>
        <w:spacing w:after="0" w:line="400" w:lineRule="exact"/>
        <w:jc w:val="center"/>
        <w:rPr>
          <w:rFonts w:ascii="宋体" w:hAnsi="宋体" w:eastAsia="宋体" w:cs="黑体"/>
          <w:bCs/>
          <w:kern w:val="28"/>
          <w:sz w:val="24"/>
          <w:szCs w:val="24"/>
        </w:rPr>
      </w:pPr>
    </w:p>
    <w:p>
      <w:pPr>
        <w:widowControl w:val="0"/>
        <w:snapToGrid/>
        <w:spacing w:after="0" w:line="400" w:lineRule="exact"/>
        <w:jc w:val="center"/>
        <w:rPr>
          <w:rFonts w:ascii="宋体" w:hAnsi="宋体" w:eastAsia="宋体" w:cs="黑体"/>
          <w:bCs/>
          <w:kern w:val="28"/>
          <w:sz w:val="24"/>
          <w:szCs w:val="24"/>
        </w:rPr>
      </w:pPr>
      <w:r>
        <w:rPr>
          <w:rFonts w:hint="eastAsia" w:ascii="宋体" w:hAnsi="宋体" w:eastAsia="宋体" w:cs="黑体"/>
          <w:bCs/>
          <w:kern w:val="28"/>
          <w:sz w:val="24"/>
          <w:szCs w:val="24"/>
        </w:rPr>
        <w:t>附录5  资格审查条件（项目经理和项目总工最低要求）</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773"/>
        <w:gridCol w:w="5971"/>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51" w:type="pct"/>
            <w:vAlign w:val="center"/>
          </w:tcPr>
          <w:p>
            <w:pPr>
              <w:widowControl w:val="0"/>
              <w:adjustRightInd/>
              <w:snapToGrid/>
              <w:spacing w:after="0" w:line="400" w:lineRule="exact"/>
              <w:jc w:val="center"/>
              <w:rPr>
                <w:rFonts w:ascii="宋体" w:hAnsi="宋体" w:eastAsia="宋体" w:cs="Times New Roman"/>
                <w:kern w:val="2"/>
                <w:sz w:val="21"/>
                <w:szCs w:val="21"/>
              </w:rPr>
            </w:pPr>
            <w:r>
              <w:rPr>
                <w:rFonts w:hint="eastAsia" w:ascii="宋体" w:hAnsi="宋体" w:eastAsia="宋体" w:cs="Times New Roman"/>
                <w:kern w:val="2"/>
                <w:sz w:val="21"/>
                <w:szCs w:val="21"/>
              </w:rPr>
              <w:t>人员</w:t>
            </w:r>
          </w:p>
        </w:tc>
        <w:tc>
          <w:tcPr>
            <w:tcW w:w="411" w:type="pct"/>
            <w:vAlign w:val="center"/>
          </w:tcPr>
          <w:p>
            <w:pPr>
              <w:widowControl w:val="0"/>
              <w:adjustRightInd/>
              <w:snapToGrid/>
              <w:spacing w:after="0" w:line="400" w:lineRule="exact"/>
              <w:jc w:val="center"/>
              <w:rPr>
                <w:rFonts w:ascii="宋体" w:hAnsi="宋体" w:eastAsia="宋体" w:cs="Times New Roman"/>
                <w:kern w:val="2"/>
                <w:sz w:val="21"/>
                <w:szCs w:val="21"/>
              </w:rPr>
            </w:pPr>
            <w:r>
              <w:rPr>
                <w:rFonts w:hint="eastAsia" w:ascii="宋体" w:hAnsi="宋体" w:eastAsia="宋体" w:cs="Times New Roman"/>
                <w:kern w:val="2"/>
                <w:sz w:val="21"/>
                <w:szCs w:val="21"/>
              </w:rPr>
              <w:t>数量</w:t>
            </w:r>
          </w:p>
        </w:tc>
        <w:tc>
          <w:tcPr>
            <w:tcW w:w="3177" w:type="pct"/>
            <w:vAlign w:val="center"/>
          </w:tcPr>
          <w:p>
            <w:pPr>
              <w:widowControl w:val="0"/>
              <w:adjustRightInd/>
              <w:snapToGrid/>
              <w:spacing w:after="0" w:line="400" w:lineRule="exact"/>
              <w:jc w:val="center"/>
              <w:rPr>
                <w:rFonts w:ascii="宋体" w:hAnsi="宋体" w:eastAsia="宋体" w:cs="Times New Roman"/>
                <w:kern w:val="2"/>
                <w:sz w:val="21"/>
                <w:szCs w:val="21"/>
              </w:rPr>
            </w:pPr>
            <w:r>
              <w:rPr>
                <w:rFonts w:hint="eastAsia" w:ascii="宋体" w:hAnsi="宋体" w:eastAsia="宋体" w:cs="Times New Roman"/>
                <w:kern w:val="2"/>
                <w:sz w:val="21"/>
                <w:szCs w:val="21"/>
              </w:rPr>
              <w:t>资格要求</w:t>
            </w:r>
          </w:p>
        </w:tc>
        <w:tc>
          <w:tcPr>
            <w:tcW w:w="759" w:type="pct"/>
            <w:vAlign w:val="center"/>
          </w:tcPr>
          <w:p>
            <w:pPr>
              <w:widowControl w:val="0"/>
              <w:adjustRightInd/>
              <w:snapToGrid/>
              <w:spacing w:after="0" w:line="400" w:lineRule="exact"/>
              <w:jc w:val="center"/>
              <w:rPr>
                <w:rFonts w:ascii="宋体" w:hAnsi="宋体" w:eastAsia="宋体" w:cs="Times New Roman"/>
                <w:kern w:val="2"/>
                <w:sz w:val="21"/>
                <w:szCs w:val="21"/>
              </w:rPr>
            </w:pPr>
            <w:r>
              <w:rPr>
                <w:rFonts w:hint="eastAsia" w:ascii="宋体" w:hAnsi="宋体" w:eastAsia="宋体" w:cs="Times New Roman"/>
                <w:kern w:val="2"/>
                <w:sz w:val="21"/>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51" w:type="pct"/>
            <w:vAlign w:val="center"/>
          </w:tcPr>
          <w:p>
            <w:pPr>
              <w:widowControl w:val="0"/>
              <w:adjustRightInd/>
              <w:snapToGrid/>
              <w:spacing w:after="0" w:line="400" w:lineRule="exact"/>
              <w:jc w:val="center"/>
              <w:rPr>
                <w:rFonts w:ascii="宋体" w:hAnsi="宋体" w:eastAsia="宋体" w:cs="Times New Roman"/>
                <w:kern w:val="2"/>
                <w:sz w:val="21"/>
                <w:szCs w:val="21"/>
              </w:rPr>
            </w:pPr>
            <w:r>
              <w:rPr>
                <w:rFonts w:hint="eastAsia" w:ascii="宋体" w:hAnsi="宋体" w:eastAsia="宋体" w:cs="Times New Roman"/>
                <w:kern w:val="2"/>
                <w:sz w:val="21"/>
                <w:szCs w:val="21"/>
              </w:rPr>
              <w:t>项目经理</w:t>
            </w:r>
          </w:p>
        </w:tc>
        <w:tc>
          <w:tcPr>
            <w:tcW w:w="411" w:type="pct"/>
            <w:vAlign w:val="center"/>
          </w:tcPr>
          <w:p>
            <w:pPr>
              <w:widowControl w:val="0"/>
              <w:adjustRightInd/>
              <w:snapToGrid/>
              <w:spacing w:after="0" w:line="400" w:lineRule="exact"/>
              <w:jc w:val="center"/>
              <w:rPr>
                <w:rFonts w:ascii="宋体" w:hAnsi="宋体" w:eastAsia="宋体" w:cs="Times New Roman"/>
                <w:kern w:val="2"/>
                <w:sz w:val="21"/>
                <w:szCs w:val="21"/>
              </w:rPr>
            </w:pPr>
            <w:r>
              <w:rPr>
                <w:rFonts w:hint="eastAsia" w:ascii="宋体" w:hAnsi="宋体" w:eastAsia="宋体" w:cs="Times New Roman"/>
                <w:kern w:val="2"/>
                <w:sz w:val="21"/>
                <w:szCs w:val="21"/>
              </w:rPr>
              <w:t>1</w:t>
            </w:r>
          </w:p>
        </w:tc>
        <w:tc>
          <w:tcPr>
            <w:tcW w:w="3177" w:type="pct"/>
            <w:vAlign w:val="center"/>
          </w:tcPr>
          <w:p>
            <w:pPr>
              <w:widowControl w:val="0"/>
              <w:adjustRightInd/>
              <w:snapToGrid/>
              <w:spacing w:after="0" w:line="400" w:lineRule="exact"/>
              <w:ind w:firstLine="420" w:firstLineChars="200"/>
              <w:jc w:val="both"/>
              <w:rPr>
                <w:rFonts w:ascii="宋体" w:hAnsi="宋体" w:eastAsia="宋体" w:cs="Times New Roman"/>
                <w:bCs/>
                <w:kern w:val="2"/>
                <w:sz w:val="21"/>
                <w:szCs w:val="21"/>
              </w:rPr>
            </w:pPr>
            <w:r>
              <w:rPr>
                <w:rFonts w:hint="eastAsia" w:ascii="宋体" w:hAnsi="宋体" w:eastAsia="宋体" w:cs="Times New Roman"/>
                <w:bCs/>
                <w:kern w:val="2"/>
                <w:sz w:val="21"/>
                <w:szCs w:val="21"/>
              </w:rPr>
              <w:t>具有高级工程师或以上职称；</w:t>
            </w:r>
          </w:p>
          <w:p>
            <w:pPr>
              <w:widowControl w:val="0"/>
              <w:adjustRightInd/>
              <w:snapToGrid/>
              <w:spacing w:after="0" w:line="400" w:lineRule="exact"/>
              <w:ind w:firstLine="420" w:firstLineChars="200"/>
              <w:jc w:val="both"/>
              <w:rPr>
                <w:rFonts w:ascii="宋体" w:hAnsi="宋体" w:eastAsia="宋体" w:cs="Times New Roman"/>
                <w:bCs/>
                <w:kern w:val="2"/>
                <w:sz w:val="21"/>
                <w:szCs w:val="21"/>
              </w:rPr>
            </w:pPr>
            <w:r>
              <w:rPr>
                <w:rFonts w:ascii="宋体" w:hAnsi="宋体" w:eastAsia="宋体" w:cs="Times New Roman"/>
                <w:bCs/>
                <w:kern w:val="2"/>
                <w:sz w:val="21"/>
                <w:szCs w:val="21"/>
              </w:rPr>
              <w:t>具有</w:t>
            </w:r>
            <w:r>
              <w:rPr>
                <w:rFonts w:hint="eastAsia" w:ascii="宋体" w:hAnsi="宋体" w:eastAsia="宋体" w:cs="Times New Roman"/>
                <w:bCs/>
                <w:kern w:val="2"/>
                <w:sz w:val="21"/>
                <w:szCs w:val="21"/>
              </w:rPr>
              <w:t>公路工程</w:t>
            </w:r>
            <w:r>
              <w:rPr>
                <w:rFonts w:ascii="宋体" w:hAnsi="宋体" w:eastAsia="宋体" w:cs="Times New Roman"/>
                <w:bCs/>
                <w:kern w:val="2"/>
                <w:sz w:val="21"/>
                <w:szCs w:val="21"/>
              </w:rPr>
              <w:t>专业一级建造师注册证书，建造师</w:t>
            </w:r>
            <w:r>
              <w:rPr>
                <w:rFonts w:hint="eastAsia" w:ascii="宋体" w:hAnsi="宋体" w:eastAsia="宋体" w:cs="Times New Roman"/>
                <w:bCs/>
                <w:kern w:val="2"/>
                <w:sz w:val="21"/>
                <w:szCs w:val="21"/>
              </w:rPr>
              <w:t>电子注册</w:t>
            </w:r>
            <w:r>
              <w:rPr>
                <w:rFonts w:ascii="宋体" w:hAnsi="宋体" w:eastAsia="宋体" w:cs="Times New Roman"/>
                <w:bCs/>
                <w:kern w:val="2"/>
                <w:sz w:val="21"/>
                <w:szCs w:val="21"/>
              </w:rPr>
              <w:t>证书的注册单位须</w:t>
            </w:r>
            <w:r>
              <w:rPr>
                <w:rFonts w:hint="eastAsia" w:ascii="宋体" w:hAnsi="宋体" w:eastAsia="宋体" w:cs="Times New Roman"/>
                <w:bCs/>
                <w:kern w:val="2"/>
                <w:sz w:val="21"/>
                <w:szCs w:val="21"/>
              </w:rPr>
              <w:t>与投标人或联合体牵头人名称一致。</w:t>
            </w:r>
          </w:p>
          <w:p>
            <w:pPr>
              <w:widowControl w:val="0"/>
              <w:adjustRightInd/>
              <w:snapToGrid/>
              <w:spacing w:after="0" w:line="400" w:lineRule="exact"/>
              <w:ind w:firstLine="420" w:firstLineChars="200"/>
              <w:jc w:val="both"/>
              <w:rPr>
                <w:rFonts w:ascii="宋体" w:hAnsi="宋体" w:eastAsia="宋体" w:cs="Times New Roman"/>
                <w:bCs/>
                <w:kern w:val="2"/>
                <w:sz w:val="21"/>
                <w:szCs w:val="21"/>
              </w:rPr>
            </w:pPr>
            <w:r>
              <w:rPr>
                <w:rFonts w:ascii="宋体" w:hAnsi="宋体" w:eastAsia="宋体" w:cs="Times New Roman"/>
                <w:bCs/>
                <w:kern w:val="2"/>
                <w:sz w:val="21"/>
                <w:szCs w:val="21"/>
              </w:rPr>
              <w:t>具有交通运输主管部门颁发的有效的安全生产考核合格证书（B类），安全生产考核合格证书的登记单位须</w:t>
            </w:r>
            <w:r>
              <w:rPr>
                <w:rFonts w:hint="eastAsia" w:ascii="宋体" w:hAnsi="宋体" w:eastAsia="宋体" w:cs="Times New Roman"/>
                <w:bCs/>
                <w:kern w:val="2"/>
                <w:sz w:val="21"/>
                <w:szCs w:val="21"/>
              </w:rPr>
              <w:t>与投标人或联合体牵头人单位名称一致。</w:t>
            </w:r>
          </w:p>
          <w:p>
            <w:pPr>
              <w:widowControl w:val="0"/>
              <w:adjustRightInd/>
              <w:snapToGrid/>
              <w:spacing w:after="0" w:line="400" w:lineRule="exact"/>
              <w:ind w:firstLine="420" w:firstLineChars="200"/>
              <w:jc w:val="both"/>
              <w:rPr>
                <w:rFonts w:ascii="宋体" w:hAnsi="宋体" w:eastAsia="宋体" w:cs="Times New Roman"/>
                <w:sz w:val="21"/>
                <w:szCs w:val="21"/>
              </w:rPr>
            </w:pPr>
            <w:r>
              <w:rPr>
                <w:rFonts w:hint="eastAsia" w:ascii="宋体" w:hAnsi="宋体" w:eastAsia="宋体" w:cs="Times New Roman"/>
                <w:bCs/>
                <w:kern w:val="2"/>
                <w:sz w:val="21"/>
                <w:szCs w:val="21"/>
              </w:rPr>
              <w:t>近5年（2019年10月1日至投标截止时间，以交工日期为准）担任过一项合同金额不小于1亿元的新建或改扩建高速公路工程施工项目的项目经理（或项目副经理）</w:t>
            </w:r>
            <w:r>
              <w:rPr>
                <w:rFonts w:hint="eastAsia" w:ascii="宋体" w:hAnsi="宋体" w:eastAsia="宋体" w:cs="Times New Roman"/>
                <w:sz w:val="21"/>
                <w:szCs w:val="21"/>
              </w:rPr>
              <w:t>。</w:t>
            </w:r>
          </w:p>
        </w:tc>
        <w:tc>
          <w:tcPr>
            <w:tcW w:w="759" w:type="pct"/>
            <w:vMerge w:val="restart"/>
            <w:vAlign w:val="center"/>
          </w:tcPr>
          <w:p>
            <w:pPr>
              <w:widowControl w:val="0"/>
              <w:spacing w:after="0" w:line="400" w:lineRule="exact"/>
              <w:jc w:val="both"/>
              <w:rPr>
                <w:rFonts w:ascii="宋体" w:hAnsi="宋体" w:eastAsia="宋体" w:cs="Times New Roman"/>
                <w:sz w:val="21"/>
                <w:szCs w:val="21"/>
              </w:rPr>
            </w:pPr>
            <w:r>
              <w:rPr>
                <w:rFonts w:hint="eastAsia" w:ascii="宋体" w:hAnsi="宋体" w:eastAsia="宋体" w:cs="Times New Roman"/>
                <w:sz w:val="21"/>
                <w:szCs w:val="21"/>
              </w:rPr>
              <w:t>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51" w:type="pct"/>
            <w:vAlign w:val="center"/>
          </w:tcPr>
          <w:p>
            <w:pPr>
              <w:widowControl w:val="0"/>
              <w:adjustRightInd/>
              <w:snapToGrid/>
              <w:spacing w:after="0" w:line="400" w:lineRule="exact"/>
              <w:jc w:val="center"/>
              <w:rPr>
                <w:rFonts w:ascii="宋体" w:hAnsi="宋体" w:eastAsia="宋体" w:cs="Times New Roman"/>
                <w:kern w:val="2"/>
                <w:sz w:val="21"/>
                <w:szCs w:val="21"/>
              </w:rPr>
            </w:pPr>
            <w:r>
              <w:rPr>
                <w:rFonts w:hint="eastAsia" w:ascii="宋体" w:hAnsi="宋体" w:eastAsia="宋体" w:cs="Times New Roman"/>
                <w:kern w:val="2"/>
                <w:sz w:val="21"/>
                <w:szCs w:val="21"/>
              </w:rPr>
              <w:t>项目总工</w:t>
            </w:r>
          </w:p>
        </w:tc>
        <w:tc>
          <w:tcPr>
            <w:tcW w:w="411" w:type="pct"/>
            <w:vAlign w:val="center"/>
          </w:tcPr>
          <w:p>
            <w:pPr>
              <w:widowControl w:val="0"/>
              <w:adjustRightInd/>
              <w:snapToGrid/>
              <w:spacing w:after="0" w:line="400" w:lineRule="exact"/>
              <w:jc w:val="center"/>
              <w:rPr>
                <w:rFonts w:ascii="宋体" w:hAnsi="宋体" w:eastAsia="宋体" w:cs="Times New Roman"/>
                <w:kern w:val="2"/>
                <w:sz w:val="21"/>
                <w:szCs w:val="21"/>
              </w:rPr>
            </w:pPr>
            <w:r>
              <w:rPr>
                <w:rFonts w:hint="eastAsia" w:ascii="宋体" w:hAnsi="宋体" w:eastAsia="宋体" w:cs="Times New Roman"/>
                <w:kern w:val="2"/>
                <w:sz w:val="21"/>
                <w:szCs w:val="21"/>
              </w:rPr>
              <w:t>1</w:t>
            </w:r>
          </w:p>
        </w:tc>
        <w:tc>
          <w:tcPr>
            <w:tcW w:w="3177" w:type="pct"/>
            <w:vAlign w:val="center"/>
          </w:tcPr>
          <w:p>
            <w:pPr>
              <w:widowControl w:val="0"/>
              <w:adjustRightInd/>
              <w:snapToGrid/>
              <w:spacing w:after="0" w:line="400" w:lineRule="exact"/>
              <w:ind w:firstLine="420" w:firstLineChars="200"/>
              <w:jc w:val="both"/>
              <w:rPr>
                <w:rFonts w:ascii="宋体" w:hAnsi="宋体" w:eastAsia="宋体" w:cs="Times New Roman"/>
                <w:bCs/>
                <w:kern w:val="2"/>
                <w:sz w:val="21"/>
                <w:szCs w:val="21"/>
              </w:rPr>
            </w:pPr>
            <w:r>
              <w:rPr>
                <w:rFonts w:hint="eastAsia" w:ascii="宋体" w:hAnsi="宋体" w:eastAsia="宋体" w:cs="Times New Roman"/>
                <w:bCs/>
                <w:kern w:val="2"/>
                <w:sz w:val="21"/>
                <w:szCs w:val="21"/>
              </w:rPr>
              <w:t>具有高级工程师或以上职称；</w:t>
            </w:r>
          </w:p>
          <w:p>
            <w:pPr>
              <w:widowControl w:val="0"/>
              <w:adjustRightInd/>
              <w:snapToGrid/>
              <w:spacing w:after="0" w:line="400" w:lineRule="exact"/>
              <w:ind w:firstLine="420" w:firstLineChars="200"/>
              <w:jc w:val="both"/>
              <w:rPr>
                <w:rFonts w:ascii="宋体" w:hAnsi="宋体" w:eastAsia="宋体" w:cs="Times New Roman"/>
                <w:bCs/>
                <w:kern w:val="2"/>
                <w:sz w:val="21"/>
                <w:szCs w:val="21"/>
              </w:rPr>
            </w:pPr>
            <w:r>
              <w:rPr>
                <w:rFonts w:ascii="宋体" w:hAnsi="宋体" w:eastAsia="宋体" w:cs="Times New Roman"/>
                <w:bCs/>
                <w:kern w:val="2"/>
                <w:sz w:val="21"/>
                <w:szCs w:val="21"/>
              </w:rPr>
              <w:t>具有交通运输主管部门颁发的有效的安全生产考核合格证书（B类），安全生产考核合格证书的登记单位须</w:t>
            </w:r>
            <w:r>
              <w:rPr>
                <w:rFonts w:hint="eastAsia" w:ascii="宋体" w:hAnsi="宋体" w:eastAsia="宋体" w:cs="Times New Roman"/>
                <w:bCs/>
                <w:kern w:val="2"/>
                <w:sz w:val="21"/>
                <w:szCs w:val="21"/>
              </w:rPr>
              <w:t>与投标人或联合体牵头人名称一致。</w:t>
            </w:r>
          </w:p>
          <w:p>
            <w:pPr>
              <w:widowControl w:val="0"/>
              <w:adjustRightInd/>
              <w:snapToGrid/>
              <w:spacing w:after="0" w:line="400" w:lineRule="exact"/>
              <w:ind w:firstLine="420" w:firstLineChars="200"/>
              <w:jc w:val="both"/>
              <w:rPr>
                <w:rFonts w:ascii="宋体" w:hAnsi="宋体" w:eastAsia="宋体" w:cs="Times New Roman"/>
                <w:kern w:val="2"/>
                <w:sz w:val="21"/>
                <w:szCs w:val="21"/>
              </w:rPr>
            </w:pPr>
            <w:r>
              <w:rPr>
                <w:rFonts w:hint="eastAsia" w:ascii="宋体" w:hAnsi="宋体" w:eastAsia="宋体" w:cs="Times New Roman"/>
                <w:bCs/>
                <w:kern w:val="2"/>
                <w:sz w:val="21"/>
                <w:szCs w:val="21"/>
              </w:rPr>
              <w:t>近5年（2019年10月1日至投标截止时间，以交工日期为准）担任过一项合同金额不小于1亿元的新建或改扩建高速公路工程施工项目的项目总工（或项目副总工或项目经理或项目副经理）。</w:t>
            </w:r>
          </w:p>
        </w:tc>
        <w:tc>
          <w:tcPr>
            <w:tcW w:w="759" w:type="pct"/>
            <w:vMerge w:val="continue"/>
            <w:vAlign w:val="center"/>
          </w:tcPr>
          <w:p>
            <w:pPr>
              <w:widowControl w:val="0"/>
              <w:spacing w:after="0" w:line="400" w:lineRule="exact"/>
              <w:ind w:firstLine="420" w:firstLineChars="200"/>
              <w:jc w:val="both"/>
              <w:rPr>
                <w:rFonts w:ascii="宋体" w:hAnsi="宋体" w:eastAsia="宋体" w:cs="Arial"/>
                <w:sz w:val="21"/>
                <w:szCs w:val="21"/>
              </w:rPr>
            </w:pPr>
          </w:p>
        </w:tc>
      </w:tr>
    </w:tbl>
    <w:p>
      <w:pPr>
        <w:keepNext/>
        <w:keepLines/>
        <w:widowControl w:val="0"/>
        <w:adjustRightInd/>
        <w:snapToGrid/>
        <w:spacing w:after="0" w:line="400" w:lineRule="exact"/>
        <w:jc w:val="both"/>
        <w:outlineLvl w:val="2"/>
        <w:rPr>
          <w:rFonts w:ascii="宋体" w:hAnsi="宋体" w:eastAsia="宋体" w:cs="黑体"/>
          <w:b/>
          <w:kern w:val="28"/>
          <w:sz w:val="24"/>
          <w:szCs w:val="24"/>
        </w:rPr>
      </w:pPr>
    </w:p>
    <w:p>
      <w:pPr>
        <w:widowControl w:val="0"/>
        <w:adjustRightInd/>
        <w:snapToGrid/>
        <w:spacing w:after="0"/>
        <w:jc w:val="both"/>
        <w:rPr>
          <w:rFonts w:ascii="宋体" w:hAnsi="宋体" w:eastAsia="宋体" w:cs="宋体"/>
          <w:kern w:val="28"/>
          <w:sz w:val="21"/>
          <w:szCs w:val="21"/>
        </w:rPr>
      </w:pPr>
      <w:r>
        <w:rPr>
          <w:rFonts w:hint="eastAsia" w:ascii="宋体" w:hAnsi="宋体" w:eastAsia="宋体" w:cs="宋体"/>
          <w:kern w:val="28"/>
          <w:sz w:val="21"/>
          <w:szCs w:val="21"/>
        </w:rPr>
        <w:t xml:space="preserve"> </w:t>
      </w:r>
    </w:p>
    <w:p>
      <w:pPr>
        <w:widowControl w:val="0"/>
        <w:adjustRightInd/>
        <w:snapToGrid/>
        <w:spacing w:after="0"/>
        <w:jc w:val="both"/>
        <w:rPr>
          <w:rFonts w:ascii="宋体" w:hAnsi="宋体" w:eastAsia="宋体" w:cs="Times New Roman"/>
          <w:kern w:val="28"/>
          <w:sz w:val="28"/>
          <w:szCs w:val="28"/>
        </w:rPr>
      </w:pPr>
      <w:r>
        <w:rPr>
          <w:rFonts w:hint="eastAsia" w:ascii="宋体" w:hAnsi="宋体" w:eastAsia="宋体" w:cs="宋体"/>
          <w:kern w:val="28"/>
          <w:sz w:val="21"/>
          <w:szCs w:val="21"/>
        </w:rPr>
        <w:br w:type="page"/>
      </w:r>
      <w:bookmarkStart w:id="14" w:name="_Toc134792340"/>
      <w:bookmarkStart w:id="15" w:name="_Toc144837286"/>
      <w:bookmarkStart w:id="16" w:name="_Toc144838352"/>
      <w:bookmarkStart w:id="17" w:name="_Toc24908"/>
      <w:bookmarkStart w:id="18" w:name="_Toc472700283"/>
      <w:bookmarkStart w:id="19" w:name="_Toc476561971"/>
      <w:bookmarkStart w:id="20" w:name="_Toc456619522"/>
      <w:bookmarkStart w:id="21" w:name="_Toc478141167"/>
      <w:bookmarkStart w:id="22" w:name="_Toc459307892"/>
      <w:r>
        <w:rPr>
          <w:rFonts w:hint="eastAsia" w:ascii="宋体" w:hAnsi="宋体" w:eastAsia="宋体" w:cs="Times New Roman"/>
          <w:kern w:val="28"/>
          <w:sz w:val="28"/>
          <w:szCs w:val="28"/>
        </w:rPr>
        <w:t>附件2</w:t>
      </w:r>
      <w:bookmarkEnd w:id="14"/>
      <w:bookmarkEnd w:id="15"/>
      <w:bookmarkEnd w:id="16"/>
      <w:bookmarkEnd w:id="17"/>
      <w:r>
        <w:rPr>
          <w:rFonts w:hint="eastAsia" w:ascii="宋体" w:hAnsi="宋体" w:eastAsia="宋体" w:cs="Times New Roman"/>
          <w:kern w:val="28"/>
          <w:sz w:val="28"/>
          <w:szCs w:val="28"/>
        </w:rPr>
        <w:t>：评标办法和定标办法</w:t>
      </w:r>
    </w:p>
    <w:p>
      <w:pPr>
        <w:keepNext/>
        <w:keepLines/>
        <w:widowControl w:val="0"/>
        <w:spacing w:after="0" w:line="360" w:lineRule="auto"/>
        <w:outlineLvl w:val="1"/>
        <w:rPr>
          <w:rFonts w:ascii="宋体" w:hAnsi="宋体" w:eastAsia="宋体" w:cs="Times New Roman"/>
          <w:b/>
          <w:bCs/>
          <w:spacing w:val="-2"/>
          <w:kern w:val="28"/>
          <w:sz w:val="24"/>
          <w:szCs w:val="24"/>
        </w:rPr>
      </w:pPr>
      <w:r>
        <w:rPr>
          <w:rFonts w:hint="eastAsia" w:ascii="宋体" w:hAnsi="宋体" w:eastAsia="宋体" w:cs="Times New Roman"/>
          <w:b/>
          <w:bCs/>
          <w:spacing w:val="-2"/>
          <w:kern w:val="28"/>
          <w:sz w:val="24"/>
          <w:szCs w:val="24"/>
        </w:rPr>
        <w:t>评标办法和定标办法前附表</w:t>
      </w:r>
    </w:p>
    <w:tbl>
      <w:tblPr>
        <w:tblStyle w:val="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4"/>
        <w:gridCol w:w="1535"/>
        <w:gridCol w:w="7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blHeader/>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ind w:left="-6" w:leftChars="-67" w:hanging="141" w:hangingChars="67"/>
              <w:jc w:val="center"/>
              <w:rPr>
                <w:rFonts w:ascii="宋体" w:hAnsi="宋体" w:eastAsia="宋体" w:cs="宋体"/>
                <w:b/>
                <w:kern w:val="28"/>
                <w:sz w:val="21"/>
                <w:szCs w:val="21"/>
              </w:rPr>
            </w:pPr>
            <w:r>
              <w:rPr>
                <w:rFonts w:hint="eastAsia" w:ascii="宋体" w:hAnsi="宋体" w:eastAsia="宋体" w:cs="宋体"/>
                <w:b/>
                <w:kern w:val="28"/>
                <w:sz w:val="21"/>
                <w:szCs w:val="21"/>
              </w:rPr>
              <w:t>条款号</w:t>
            </w:r>
          </w:p>
        </w:tc>
        <w:tc>
          <w:tcPr>
            <w:tcW w:w="8587"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
                <w:kern w:val="28"/>
                <w:sz w:val="21"/>
                <w:szCs w:val="21"/>
              </w:rPr>
            </w:pPr>
            <w:r>
              <w:rPr>
                <w:rFonts w:hint="eastAsia" w:ascii="宋体" w:hAnsi="宋体" w:eastAsia="宋体" w:cs="宋体"/>
                <w:b/>
                <w:kern w:val="28"/>
                <w:sz w:val="21"/>
                <w:szCs w:val="21"/>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1</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评标办法</w:t>
            </w:r>
          </w:p>
        </w:tc>
        <w:tc>
          <w:tcPr>
            <w:tcW w:w="7028"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288" w:lineRule="auto"/>
              <w:rPr>
                <w:rFonts w:ascii="宋体" w:hAnsi="宋体" w:eastAsia="宋体" w:cs="宋体"/>
                <w:b/>
                <w:kern w:val="28"/>
                <w:sz w:val="21"/>
                <w:szCs w:val="21"/>
              </w:rPr>
            </w:pPr>
            <w:r>
              <w:rPr>
                <w:rFonts w:hint="eastAsia" w:ascii="宋体" w:hAnsi="宋体" w:eastAsia="宋体" w:cs="宋体"/>
                <w:b/>
                <w:kern w:val="28"/>
                <w:sz w:val="21"/>
                <w:szCs w:val="21"/>
              </w:rPr>
              <w:t>本款修改为：</w:t>
            </w:r>
          </w:p>
          <w:p>
            <w:pPr>
              <w:widowControl w:val="0"/>
              <w:adjustRightInd/>
              <w:spacing w:after="0" w:line="288" w:lineRule="auto"/>
              <w:ind w:firstLine="226" w:firstLineChars="108"/>
              <w:rPr>
                <w:rFonts w:ascii="宋体" w:hAnsi="宋体" w:eastAsia="宋体" w:cs="宋体"/>
                <w:kern w:val="28"/>
                <w:sz w:val="21"/>
                <w:szCs w:val="21"/>
              </w:rPr>
            </w:pPr>
            <w:r>
              <w:rPr>
                <w:rFonts w:hint="eastAsia" w:ascii="宋体" w:hAnsi="宋体" w:eastAsia="宋体" w:cs="宋体"/>
                <w:kern w:val="28"/>
                <w:sz w:val="21"/>
                <w:szCs w:val="21"/>
              </w:rPr>
              <w:t>本次评标采用技术评分最低标价法，双信封形式。</w:t>
            </w:r>
          </w:p>
          <w:p>
            <w:pPr>
              <w:widowControl w:val="0"/>
              <w:adjustRightInd/>
              <w:spacing w:after="0" w:line="288" w:lineRule="auto"/>
              <w:ind w:firstLine="226" w:firstLineChars="108"/>
              <w:rPr>
                <w:rFonts w:ascii="宋体" w:hAnsi="宋体" w:eastAsia="宋体" w:cs="宋体"/>
                <w:kern w:val="28"/>
                <w:sz w:val="21"/>
                <w:szCs w:val="21"/>
              </w:rPr>
            </w:pPr>
            <w:r>
              <w:rPr>
                <w:rFonts w:hint="eastAsia" w:ascii="宋体" w:hAnsi="宋体" w:eastAsia="宋体" w:cs="宋体"/>
                <w:kern w:val="28"/>
                <w:sz w:val="21"/>
                <w:szCs w:val="21"/>
              </w:rPr>
              <w:t>评标委员会对满足招标文件实质性要求的投标文件按照本章第2.2款规定的评分标准进行打分，并按照综合得分由高到低顺序推荐不超过三名的中标候选人，中标候选人不排序。</w:t>
            </w:r>
          </w:p>
          <w:p>
            <w:pPr>
              <w:widowControl w:val="0"/>
              <w:adjustRightInd/>
              <w:spacing w:after="0" w:line="288" w:lineRule="auto"/>
              <w:ind w:firstLine="226" w:firstLineChars="108"/>
              <w:rPr>
                <w:rFonts w:ascii="宋体" w:hAnsi="宋体" w:eastAsia="宋体" w:cs="宋体"/>
                <w:kern w:val="28"/>
                <w:sz w:val="21"/>
                <w:szCs w:val="21"/>
              </w:rPr>
            </w:pPr>
            <w:r>
              <w:rPr>
                <w:rFonts w:hint="eastAsia" w:ascii="宋体" w:hAnsi="宋体" w:eastAsia="宋体" w:cs="宋体"/>
                <w:kern w:val="28"/>
                <w:sz w:val="21"/>
                <w:szCs w:val="21"/>
              </w:rPr>
              <w:t>综合评分相等时，评标委员会依次按照以下顺序确定前3名投标人：</w:t>
            </w:r>
          </w:p>
          <w:p>
            <w:pPr>
              <w:widowControl w:val="0"/>
              <w:adjustRightInd/>
              <w:spacing w:after="0" w:line="288" w:lineRule="auto"/>
              <w:ind w:firstLine="226" w:firstLineChars="108"/>
              <w:rPr>
                <w:rFonts w:ascii="宋体" w:hAnsi="宋体" w:eastAsia="宋体" w:cs="宋体"/>
                <w:kern w:val="28"/>
                <w:sz w:val="21"/>
                <w:szCs w:val="21"/>
              </w:rPr>
            </w:pPr>
            <w:r>
              <w:rPr>
                <w:rFonts w:hint="eastAsia" w:ascii="宋体" w:hAnsi="宋体" w:eastAsia="宋体" w:cs="宋体"/>
                <w:kern w:val="28"/>
                <w:sz w:val="21"/>
                <w:szCs w:val="21"/>
              </w:rPr>
              <w:t>（1）评标价低的投标人优先；</w:t>
            </w:r>
          </w:p>
          <w:p>
            <w:pPr>
              <w:widowControl w:val="0"/>
              <w:adjustRightInd/>
              <w:spacing w:after="0" w:line="288" w:lineRule="auto"/>
              <w:ind w:firstLine="226" w:firstLineChars="108"/>
              <w:rPr>
                <w:rFonts w:ascii="宋体" w:hAnsi="宋体" w:eastAsia="宋体" w:cs="宋体"/>
                <w:kern w:val="28"/>
                <w:sz w:val="21"/>
                <w:szCs w:val="21"/>
              </w:rPr>
            </w:pPr>
            <w:r>
              <w:rPr>
                <w:rFonts w:hint="eastAsia" w:ascii="宋体" w:hAnsi="宋体" w:eastAsia="宋体" w:cs="宋体"/>
                <w:kern w:val="28"/>
                <w:sz w:val="21"/>
                <w:szCs w:val="21"/>
              </w:rPr>
              <w:t>（2）施工组织设计得分较高的投标人优先；</w:t>
            </w:r>
          </w:p>
          <w:p>
            <w:pPr>
              <w:widowControl w:val="0"/>
              <w:adjustRightInd/>
              <w:spacing w:after="0" w:line="288" w:lineRule="auto"/>
              <w:ind w:firstLine="226" w:firstLineChars="108"/>
              <w:rPr>
                <w:rFonts w:ascii="宋体" w:hAnsi="宋体" w:eastAsia="宋体" w:cs="Times New Roman"/>
                <w:kern w:val="28"/>
                <w:sz w:val="21"/>
                <w:szCs w:val="21"/>
              </w:rPr>
            </w:pPr>
            <w:r>
              <w:rPr>
                <w:rFonts w:hint="eastAsia" w:ascii="宋体" w:hAnsi="宋体" w:eastAsia="宋体" w:cs="宋体"/>
                <w:kern w:val="28"/>
                <w:sz w:val="21"/>
                <w:szCs w:val="21"/>
              </w:rPr>
              <w:t>（3）满足资格审查条件（业绩最低要求）要求中的新建或改扩建高速公路工程施工业绩累计合同金额高的优先。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2.1.1</w:t>
            </w:r>
          </w:p>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2.1.3</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形式评审</w:t>
            </w:r>
          </w:p>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与响应性</w:t>
            </w:r>
          </w:p>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评审标准</w:t>
            </w:r>
          </w:p>
        </w:tc>
        <w:tc>
          <w:tcPr>
            <w:tcW w:w="7028" w:type="dxa"/>
            <w:tcBorders>
              <w:top w:val="single" w:color="auto" w:sz="4" w:space="0"/>
              <w:left w:val="single" w:color="auto" w:sz="4" w:space="0"/>
              <w:bottom w:val="single" w:color="auto" w:sz="4" w:space="0"/>
              <w:right w:val="single" w:color="auto" w:sz="4" w:space="0"/>
            </w:tcBorders>
          </w:tcPr>
          <w:p>
            <w:pPr>
              <w:widowControl w:val="0"/>
              <w:adjustRightInd/>
              <w:spacing w:after="0" w:line="320" w:lineRule="exact"/>
              <w:rPr>
                <w:rFonts w:ascii="宋体" w:hAnsi="宋体" w:eastAsia="宋体" w:cs="宋体"/>
                <w:b/>
                <w:kern w:val="28"/>
                <w:sz w:val="21"/>
                <w:szCs w:val="21"/>
              </w:rPr>
            </w:pPr>
            <w:r>
              <w:rPr>
                <w:rFonts w:hint="eastAsia" w:ascii="宋体" w:hAnsi="宋体" w:eastAsia="宋体" w:cs="宋体"/>
                <w:b/>
                <w:kern w:val="28"/>
                <w:sz w:val="21"/>
                <w:szCs w:val="21"/>
              </w:rPr>
              <w:t>第一个信封（商务文件）评审标准：</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（1）投标文件按照招标文件规定的格式、内容填写，字迹清晰可辨：</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a.投标函按招标文件规定填报了项目名称、补遗书编号（如有）、项目经理和项目总工姓名、工期、工程质量、安全目标；</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b.投标函附录的所有数据均符合招标文件规定；</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c.投标文件组成齐全完整，内容均按规定填写。</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（2）投标文件上法定代表人或其授权代理人的签字、投标人的单位章盖章齐全，符合招标文件规定。</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（3）投标人按照招标文件第二章“投标人须知”第3.4.1项规定的金额、形式、时效和内容提供了投标保证金。</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w:t>
            </w:r>
            <w:r>
              <w:rPr>
                <w:rFonts w:ascii="宋体" w:hAnsi="宋体" w:eastAsia="宋体" w:cs="宋体"/>
                <w:kern w:val="28"/>
                <w:sz w:val="21"/>
                <w:szCs w:val="21"/>
              </w:rPr>
              <w:t>4</w:t>
            </w:r>
            <w:r>
              <w:rPr>
                <w:rFonts w:hint="eastAsia" w:ascii="宋体" w:hAnsi="宋体" w:eastAsia="宋体" w:cs="宋体"/>
                <w:kern w:val="28"/>
                <w:sz w:val="21"/>
                <w:szCs w:val="21"/>
              </w:rPr>
              <w:t>）投标人法定代表人授权委托代理人签署投标文件的，提供了授权委托书，符合招标文件规定。</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w:t>
            </w:r>
            <w:r>
              <w:rPr>
                <w:rFonts w:ascii="宋体" w:hAnsi="宋体" w:eastAsia="宋体" w:cs="宋体"/>
                <w:kern w:val="28"/>
                <w:sz w:val="21"/>
                <w:szCs w:val="21"/>
              </w:rPr>
              <w:t>5</w:t>
            </w:r>
            <w:r>
              <w:rPr>
                <w:rFonts w:hint="eastAsia" w:ascii="宋体" w:hAnsi="宋体" w:eastAsia="宋体" w:cs="宋体"/>
                <w:kern w:val="28"/>
                <w:sz w:val="21"/>
                <w:szCs w:val="21"/>
              </w:rPr>
              <w:t>）投标人法定代表人若亲自签署投标文件的，提供了法定代表人身份证明，符合招标文件规定。</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（6）</w:t>
            </w:r>
            <w:r>
              <w:rPr>
                <w:rFonts w:ascii="宋体" w:hAnsi="宋体" w:eastAsia="宋体" w:cs="宋体"/>
                <w:kern w:val="28"/>
                <w:sz w:val="21"/>
                <w:szCs w:val="21"/>
              </w:rPr>
              <w:t>投标人以联合体形式投标时，联合体满足招标文件的要求</w:t>
            </w:r>
            <w:r>
              <w:rPr>
                <w:rFonts w:hint="eastAsia" w:ascii="宋体" w:hAnsi="宋体" w:eastAsia="宋体" w:cs="宋体"/>
                <w:kern w:val="28"/>
                <w:sz w:val="21"/>
                <w:szCs w:val="21"/>
              </w:rPr>
              <w:t>：</w:t>
            </w:r>
          </w:p>
          <w:p>
            <w:pPr>
              <w:widowControl w:val="0"/>
              <w:adjustRightInd/>
              <w:spacing w:after="0" w:line="320" w:lineRule="exact"/>
              <w:ind w:firstLine="226" w:firstLineChars="108"/>
              <w:rPr>
                <w:rFonts w:ascii="宋体" w:hAnsi="宋体" w:eastAsia="宋体" w:cs="宋体"/>
                <w:kern w:val="28"/>
                <w:sz w:val="21"/>
                <w:szCs w:val="21"/>
              </w:rPr>
            </w:pPr>
            <w:r>
              <w:rPr>
                <w:rFonts w:ascii="宋体" w:hAnsi="宋体" w:eastAsia="宋体" w:cs="宋体"/>
                <w:kern w:val="28"/>
                <w:sz w:val="21"/>
                <w:szCs w:val="21"/>
              </w:rPr>
              <w:t>投标人按照招标文件提供的格式和要求签订了联合体协议书，明确各方承担连带责任，并明确了联合体牵头人。</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（7）投标人未对本项目提出分包计划。</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（8）同一投标人未提交两个以上不同的投标文件。</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（9）投标文件第一个信封（商务及技术文件）中未出现有关投标报价的内容。</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（10）投标文件载明的招标项目完成期限符合招标文件规定。</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（11）投标文件对招标文件的实质性要求和条件作出响应。</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（12）权利义务符合招标文件规定：</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a.投标人应接受招标文件规定的风险划分原则，未提出新的风险划分办法；</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b.投标人未增加发包人的责任范围，或减少投标人义务；</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c.投标人未提出不同的工程验收、计量、支付办法；</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d.投标人对合同纠纷、事故处理办法未提出异议；</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e.投标人在投标活动中无欺诈行为；</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f.投标人未对合同条款有重要保留。</w:t>
            </w:r>
          </w:p>
          <w:p>
            <w:pPr>
              <w:widowControl w:val="0"/>
              <w:adjustRightInd/>
              <w:spacing w:after="0" w:line="320" w:lineRule="exact"/>
              <w:rPr>
                <w:rFonts w:ascii="宋体" w:hAnsi="宋体" w:eastAsia="宋体" w:cs="宋体"/>
                <w:b/>
                <w:kern w:val="28"/>
                <w:sz w:val="21"/>
                <w:szCs w:val="21"/>
              </w:rPr>
            </w:pPr>
            <w:r>
              <w:rPr>
                <w:rFonts w:hint="eastAsia" w:ascii="宋体" w:hAnsi="宋体" w:eastAsia="宋体" w:cs="宋体"/>
                <w:b/>
                <w:kern w:val="28"/>
                <w:sz w:val="21"/>
                <w:szCs w:val="21"/>
              </w:rPr>
              <w:t>第一个信封（技术文件）评审标准：</w:t>
            </w:r>
          </w:p>
          <w:p>
            <w:pPr>
              <w:widowControl w:val="0"/>
              <w:adjustRightInd/>
              <w:spacing w:after="0" w:line="320" w:lineRule="exact"/>
              <w:ind w:firstLine="226" w:firstLineChars="108"/>
              <w:rPr>
                <w:rFonts w:ascii="宋体" w:hAnsi="宋体" w:eastAsia="宋体" w:cs="宋体"/>
                <w:kern w:val="28"/>
                <w:sz w:val="21"/>
                <w:szCs w:val="21"/>
              </w:rPr>
            </w:pPr>
            <w:r>
              <w:rPr>
                <w:rFonts w:ascii="宋体" w:hAnsi="宋体" w:eastAsia="宋体" w:cs="宋体"/>
                <w:kern w:val="28"/>
                <w:sz w:val="21"/>
                <w:szCs w:val="21"/>
              </w:rPr>
              <w:t>（1）</w:t>
            </w:r>
            <w:r>
              <w:rPr>
                <w:rFonts w:hint="eastAsia" w:ascii="宋体" w:hAnsi="宋体" w:eastAsia="宋体" w:cs="宋体"/>
                <w:kern w:val="28"/>
                <w:sz w:val="21"/>
                <w:szCs w:val="21"/>
              </w:rPr>
              <w:t>施工组织设计（暗标）编制符合招标文件第二章“投标人须知”第10.2款的规定。</w:t>
            </w:r>
          </w:p>
          <w:p>
            <w:pPr>
              <w:widowControl w:val="0"/>
              <w:adjustRightInd/>
              <w:spacing w:after="0" w:line="320" w:lineRule="exact"/>
              <w:rPr>
                <w:rFonts w:ascii="宋体" w:hAnsi="宋体" w:eastAsia="宋体" w:cs="宋体"/>
                <w:b/>
                <w:kern w:val="28"/>
                <w:sz w:val="21"/>
                <w:szCs w:val="21"/>
              </w:rPr>
            </w:pPr>
            <w:r>
              <w:rPr>
                <w:rFonts w:hint="eastAsia" w:ascii="宋体" w:hAnsi="宋体" w:eastAsia="宋体" w:cs="宋体"/>
                <w:b/>
                <w:kern w:val="28"/>
                <w:sz w:val="21"/>
                <w:szCs w:val="21"/>
              </w:rPr>
              <w:t>第二个信封（报价文件）评审标准：</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（1）投标文件按照招标文件规定的格式、内容填写，字迹清晰可辨，内容齐全完整：</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a.投标函按招标文件规定填报了项目名称、补遗书编号（如有）、投标价（包括大写金额和小写金额）；</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b.已标价工程量清单说明文字与招标文件规定一致，未进行实质性修改和删减；</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c.投标文件组成齐全完整，内容均按规定填写。</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（2）投标文件上法定代表人或其委托代理人的签字、投标人的单位章盖章齐全，符合招标文件规定。</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（3）投标报价未超过招标文件设定的最高投标限价。</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（4）投标报价中的大写金额能够确定具体数值。</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（5）同一投标人未提交两个以上不同的投标报价。</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（6）投标人未提交调价函。</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（7）投标人填写完毕的工程量固化清单未对招标人提供的工程量固化清单电子文件中的数据、格式和运算定义进行修改；</w:t>
            </w:r>
          </w:p>
          <w:p>
            <w:pPr>
              <w:widowControl w:val="0"/>
              <w:adjustRightInd/>
              <w:spacing w:after="0" w:line="320" w:lineRule="exact"/>
              <w:ind w:firstLine="226" w:firstLineChars="108"/>
              <w:rPr>
                <w:rFonts w:ascii="宋体" w:hAnsi="宋体" w:eastAsia="宋体" w:cs="宋体"/>
                <w:kern w:val="28"/>
                <w:sz w:val="24"/>
                <w:szCs w:val="24"/>
              </w:rPr>
            </w:pPr>
            <w:r>
              <w:rPr>
                <w:rFonts w:hint="eastAsia" w:ascii="宋体" w:hAnsi="宋体" w:eastAsia="宋体" w:cs="宋体"/>
                <w:kern w:val="28"/>
                <w:sz w:val="21"/>
                <w:szCs w:val="21"/>
              </w:rPr>
              <w:t>（8）工程量固化清单中的投标报价和投标函大写金额报价一致。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kern w:val="28"/>
                <w:sz w:val="24"/>
                <w:szCs w:val="24"/>
              </w:rPr>
            </w:pPr>
            <w:r>
              <w:rPr>
                <w:rFonts w:hint="eastAsia" w:ascii="宋体" w:hAnsi="宋体" w:eastAsia="宋体" w:cs="宋体"/>
                <w:kern w:val="28"/>
                <w:sz w:val="21"/>
                <w:szCs w:val="21"/>
              </w:rPr>
              <w:t>2.1.2</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资格评审</w:t>
            </w:r>
          </w:p>
          <w:p>
            <w:pPr>
              <w:widowControl w:val="0"/>
              <w:adjustRightInd/>
              <w:snapToGrid/>
              <w:spacing w:after="0"/>
              <w:jc w:val="center"/>
              <w:rPr>
                <w:rFonts w:ascii="宋体" w:hAnsi="宋体" w:eastAsia="宋体" w:cs="宋体"/>
                <w:kern w:val="28"/>
                <w:sz w:val="24"/>
                <w:szCs w:val="24"/>
              </w:rPr>
            </w:pPr>
            <w:r>
              <w:rPr>
                <w:rFonts w:hint="eastAsia" w:ascii="宋体" w:hAnsi="宋体" w:eastAsia="宋体" w:cs="宋体"/>
                <w:kern w:val="28"/>
                <w:sz w:val="21"/>
                <w:szCs w:val="21"/>
              </w:rPr>
              <w:t>标准</w:t>
            </w:r>
          </w:p>
        </w:tc>
        <w:tc>
          <w:tcPr>
            <w:tcW w:w="7028"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（1）投标人具备有效的营业执照、资质证书、安全生产许可证和基本账户开户许可证（或基本存款账户信息）。</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（2）投标人的资质等级符合招标文件规定。</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（3）投标人的财务状况应符合招标文件规定。</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（4）投标人的业绩符合招标文件规定。</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（5）投标人的信誉符合招标文件规定。</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（6）投标人的项目经理和项目总工资格符合招标文件规定。</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（7）投标人不存在第二章“投标人须知”第1.4.3项或1.4.4项规定的任何一种情形。</w:t>
            </w:r>
          </w:p>
          <w:p>
            <w:pPr>
              <w:widowControl w:val="0"/>
              <w:adjustRightInd/>
              <w:spacing w:after="0" w:line="320" w:lineRule="exact"/>
              <w:ind w:firstLine="226" w:firstLineChars="108"/>
              <w:rPr>
                <w:rFonts w:ascii="宋体" w:hAnsi="宋体" w:eastAsia="宋体" w:cs="宋体"/>
                <w:kern w:val="28"/>
                <w:sz w:val="21"/>
                <w:szCs w:val="21"/>
              </w:rPr>
            </w:pPr>
            <w:r>
              <w:rPr>
                <w:rFonts w:hint="eastAsia" w:ascii="宋体" w:hAnsi="宋体" w:eastAsia="宋体" w:cs="宋体"/>
                <w:kern w:val="28"/>
                <w:sz w:val="21"/>
                <w:szCs w:val="21"/>
              </w:rPr>
              <w:t>（8）投标人符合第二章“投标人须知”第1.4.5项规定。</w:t>
            </w:r>
          </w:p>
          <w:p>
            <w:pPr>
              <w:widowControl w:val="0"/>
              <w:adjustRightInd/>
              <w:spacing w:after="0" w:line="320" w:lineRule="exact"/>
              <w:ind w:firstLine="220" w:firstLineChars="108"/>
              <w:rPr>
                <w:rFonts w:ascii="宋体" w:hAnsi="宋体" w:eastAsia="宋体" w:cs="宋体"/>
                <w:kern w:val="28"/>
                <w:sz w:val="21"/>
                <w:szCs w:val="21"/>
              </w:rPr>
            </w:pPr>
            <w:r>
              <w:rPr>
                <w:rFonts w:hint="eastAsia" w:ascii="宋体" w:hAnsi="宋体" w:eastAsia="宋体" w:cs="Times New Roman"/>
                <w:spacing w:val="-3"/>
                <w:kern w:val="28"/>
                <w:sz w:val="21"/>
                <w:szCs w:val="20"/>
              </w:rPr>
              <w:t>（</w:t>
            </w:r>
            <w:r>
              <w:rPr>
                <w:rFonts w:hint="eastAsia" w:ascii="宋体" w:hAnsi="宋体" w:eastAsia="宋体" w:cs="宋体"/>
                <w:spacing w:val="-3"/>
                <w:kern w:val="28"/>
                <w:sz w:val="21"/>
                <w:szCs w:val="20"/>
              </w:rPr>
              <w:t>9</w:t>
            </w:r>
            <w:r>
              <w:rPr>
                <w:rFonts w:hint="eastAsia" w:ascii="宋体" w:hAnsi="宋体" w:eastAsia="宋体" w:cs="Times New Roman"/>
                <w:spacing w:val="-3"/>
                <w:kern w:val="28"/>
                <w:sz w:val="21"/>
                <w:szCs w:val="20"/>
              </w:rPr>
              <w:t>）</w:t>
            </w:r>
            <w:r>
              <w:rPr>
                <w:rFonts w:ascii="宋体" w:hAnsi="宋体" w:eastAsia="宋体" w:cs="Times New Roman"/>
                <w:spacing w:val="-3"/>
                <w:kern w:val="28"/>
                <w:sz w:val="21"/>
                <w:szCs w:val="20"/>
              </w:rPr>
              <w:t>以联合体形式参与投标的，联合体各方均未再以自己名义单独或</w:t>
            </w:r>
            <w:r>
              <w:rPr>
                <w:rFonts w:ascii="宋体" w:hAnsi="宋体" w:eastAsia="宋体" w:cs="Times New Roman"/>
                <w:spacing w:val="-6"/>
                <w:kern w:val="28"/>
                <w:sz w:val="21"/>
                <w:szCs w:val="20"/>
              </w:rPr>
              <w:t>参加其他联合体在本项目的投标；独立参与投标的，投标人未同时参加联合</w:t>
            </w:r>
            <w:r>
              <w:rPr>
                <w:rFonts w:ascii="宋体" w:hAnsi="宋体" w:eastAsia="宋体" w:cs="Times New Roman"/>
                <w:spacing w:val="-4"/>
                <w:kern w:val="28"/>
                <w:sz w:val="21"/>
                <w:szCs w:val="20"/>
              </w:rPr>
              <w:t>体在本项目的投标。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
                <w:kern w:val="28"/>
                <w:sz w:val="21"/>
                <w:szCs w:val="21"/>
              </w:rPr>
            </w:pPr>
            <w:r>
              <w:rPr>
                <w:rFonts w:hint="eastAsia" w:ascii="宋体" w:hAnsi="宋体" w:eastAsia="宋体" w:cs="宋体"/>
                <w:b/>
                <w:kern w:val="28"/>
                <w:sz w:val="21"/>
                <w:szCs w:val="21"/>
              </w:rPr>
              <w:t>条款号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
                <w:kern w:val="28"/>
                <w:sz w:val="21"/>
                <w:szCs w:val="21"/>
              </w:rPr>
            </w:pPr>
            <w:r>
              <w:rPr>
                <w:rFonts w:hint="eastAsia" w:ascii="宋体" w:hAnsi="宋体" w:eastAsia="宋体" w:cs="宋体"/>
                <w:b/>
                <w:kern w:val="28"/>
                <w:sz w:val="21"/>
                <w:szCs w:val="21"/>
              </w:rPr>
              <w:t>条款内容</w:t>
            </w:r>
          </w:p>
        </w:tc>
        <w:tc>
          <w:tcPr>
            <w:tcW w:w="70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b/>
                <w:kern w:val="28"/>
                <w:sz w:val="21"/>
                <w:szCs w:val="21"/>
              </w:rPr>
            </w:pPr>
            <w:r>
              <w:rPr>
                <w:rFonts w:hint="eastAsia" w:ascii="宋体" w:hAnsi="宋体" w:eastAsia="宋体" w:cs="宋体"/>
                <w:b/>
                <w:kern w:val="28"/>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kern w:val="28"/>
                <w:sz w:val="24"/>
                <w:szCs w:val="24"/>
              </w:rPr>
            </w:pPr>
            <w:r>
              <w:rPr>
                <w:rFonts w:hint="eastAsia" w:ascii="宋体" w:hAnsi="宋体" w:eastAsia="宋体" w:cs="宋体"/>
                <w:kern w:val="28"/>
                <w:sz w:val="21"/>
                <w:szCs w:val="21"/>
              </w:rPr>
              <w:t>2.2.1</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kern w:val="28"/>
                <w:sz w:val="21"/>
                <w:szCs w:val="21"/>
              </w:rPr>
            </w:pPr>
            <w:r>
              <w:rPr>
                <w:rFonts w:ascii="宋体" w:hAnsi="宋体" w:eastAsia="宋体" w:cs="宋体"/>
                <w:kern w:val="28"/>
                <w:sz w:val="21"/>
                <w:szCs w:val="21"/>
              </w:rPr>
              <w:t>分值构成</w:t>
            </w:r>
          </w:p>
          <w:p>
            <w:pPr>
              <w:widowControl w:val="0"/>
              <w:adjustRightInd/>
              <w:snapToGrid/>
              <w:spacing w:after="0"/>
              <w:jc w:val="center"/>
              <w:rPr>
                <w:rFonts w:ascii="宋体" w:hAnsi="宋体" w:eastAsia="宋体" w:cs="Times New Roman"/>
                <w:kern w:val="28"/>
                <w:sz w:val="21"/>
                <w:szCs w:val="20"/>
              </w:rPr>
            </w:pPr>
            <w:r>
              <w:rPr>
                <w:rFonts w:hint="eastAsia" w:ascii="宋体" w:hAnsi="宋体" w:eastAsia="宋体" w:cs="宋体"/>
                <w:kern w:val="28"/>
                <w:sz w:val="21"/>
                <w:szCs w:val="21"/>
              </w:rPr>
              <w:t>（</w:t>
            </w:r>
            <w:r>
              <w:rPr>
                <w:rFonts w:ascii="宋体" w:hAnsi="宋体" w:eastAsia="宋体" w:cs="宋体"/>
                <w:kern w:val="28"/>
                <w:sz w:val="21"/>
                <w:szCs w:val="21"/>
              </w:rPr>
              <w:t>总分100分</w:t>
            </w:r>
            <w:r>
              <w:rPr>
                <w:rFonts w:hint="eastAsia" w:ascii="宋体" w:hAnsi="宋体" w:eastAsia="宋体" w:cs="宋体"/>
                <w:kern w:val="28"/>
                <w:sz w:val="21"/>
                <w:szCs w:val="21"/>
              </w:rPr>
              <w:t>）</w:t>
            </w:r>
          </w:p>
        </w:tc>
        <w:tc>
          <w:tcPr>
            <w:tcW w:w="702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snapToGrid/>
              <w:spacing w:after="0" w:line="400" w:lineRule="exact"/>
              <w:rPr>
                <w:rFonts w:ascii="宋体" w:hAnsi="宋体" w:eastAsia="宋体" w:cs="宋体"/>
                <w:sz w:val="21"/>
                <w:lang w:bidi="zh-CN"/>
              </w:rPr>
            </w:pPr>
            <w:r>
              <w:rPr>
                <w:rFonts w:hint="eastAsia" w:ascii="宋体" w:hAnsi="宋体" w:eastAsia="宋体" w:cs="宋体"/>
                <w:sz w:val="21"/>
                <w:lang w:bidi="zh-CN"/>
              </w:rPr>
              <w:t>施工组织设计：40分</w:t>
            </w:r>
          </w:p>
          <w:p>
            <w:pPr>
              <w:widowControl w:val="0"/>
              <w:autoSpaceDE w:val="0"/>
              <w:autoSpaceDN w:val="0"/>
              <w:adjustRightInd/>
              <w:snapToGrid/>
              <w:spacing w:after="0" w:line="400" w:lineRule="exact"/>
              <w:rPr>
                <w:rFonts w:ascii="宋体" w:hAnsi="宋体" w:eastAsia="宋体" w:cs="宋体"/>
                <w:sz w:val="21"/>
                <w:lang w:bidi="zh-CN"/>
              </w:rPr>
            </w:pPr>
            <w:r>
              <w:rPr>
                <w:rFonts w:hint="eastAsia" w:ascii="宋体" w:hAnsi="宋体" w:eastAsia="宋体" w:cs="宋体"/>
                <w:sz w:val="21"/>
                <w:lang w:bidi="zh-CN"/>
              </w:rPr>
              <w:t>主要人员：25分</w:t>
            </w:r>
          </w:p>
          <w:p>
            <w:pPr>
              <w:widowControl w:val="0"/>
              <w:autoSpaceDE w:val="0"/>
              <w:autoSpaceDN w:val="0"/>
              <w:adjustRightInd/>
              <w:snapToGrid/>
              <w:spacing w:after="0" w:line="400" w:lineRule="exact"/>
              <w:rPr>
                <w:rFonts w:ascii="宋体" w:hAnsi="宋体" w:eastAsia="宋体" w:cs="宋体"/>
                <w:sz w:val="21"/>
                <w:lang w:bidi="zh-CN"/>
              </w:rPr>
            </w:pPr>
            <w:r>
              <w:rPr>
                <w:rFonts w:hint="eastAsia" w:ascii="宋体" w:hAnsi="宋体" w:eastAsia="宋体" w:cs="宋体"/>
                <w:sz w:val="21"/>
                <w:lang w:bidi="zh-CN"/>
              </w:rPr>
              <w:t>履约信誉：15分</w:t>
            </w:r>
          </w:p>
          <w:p>
            <w:pPr>
              <w:widowControl w:val="0"/>
              <w:autoSpaceDE w:val="0"/>
              <w:autoSpaceDN w:val="0"/>
              <w:adjustRightInd/>
              <w:snapToGrid/>
              <w:spacing w:after="0" w:line="400" w:lineRule="exact"/>
              <w:rPr>
                <w:rFonts w:ascii="宋体" w:hAnsi="宋体" w:eastAsia="宋体" w:cs="Times New Roman"/>
                <w:sz w:val="21"/>
                <w:lang w:bidi="zh-CN"/>
              </w:rPr>
            </w:pPr>
            <w:r>
              <w:rPr>
                <w:rFonts w:hint="eastAsia" w:ascii="宋体" w:hAnsi="宋体" w:eastAsia="宋体" w:cs="宋体"/>
                <w:sz w:val="21"/>
                <w:lang w:bidi="zh-CN"/>
              </w:rPr>
              <w:t>企业业绩：20分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宋体" w:hAnsi="宋体" w:eastAsia="宋体" w:cs="宋体"/>
                <w:kern w:val="28"/>
                <w:sz w:val="21"/>
                <w:szCs w:val="21"/>
              </w:rPr>
            </w:pPr>
            <w:r>
              <w:rPr>
                <w:rFonts w:hint="eastAsia" w:ascii="宋体" w:hAnsi="宋体" w:eastAsia="宋体" w:cs="宋体"/>
                <w:kern w:val="28"/>
                <w:sz w:val="21"/>
                <w:szCs w:val="21"/>
              </w:rPr>
              <w:t>2.2.3</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288" w:lineRule="auto"/>
              <w:jc w:val="center"/>
              <w:rPr>
                <w:rFonts w:ascii="宋体" w:hAnsi="宋体" w:eastAsia="宋体" w:cs="宋体"/>
                <w:kern w:val="28"/>
                <w:sz w:val="21"/>
                <w:szCs w:val="21"/>
              </w:rPr>
            </w:pPr>
            <w:r>
              <w:rPr>
                <w:rFonts w:hint="eastAsia" w:ascii="宋体" w:hAnsi="宋体" w:eastAsia="宋体" w:cs="宋体"/>
                <w:kern w:val="28"/>
                <w:sz w:val="21"/>
                <w:szCs w:val="21"/>
              </w:rPr>
              <w:t>第二个信封详细评审标准</w:t>
            </w:r>
          </w:p>
        </w:tc>
        <w:tc>
          <w:tcPr>
            <w:tcW w:w="7028"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288" w:lineRule="auto"/>
              <w:ind w:right="113"/>
              <w:jc w:val="both"/>
              <w:rPr>
                <w:rFonts w:ascii="宋体" w:hAnsi="宋体" w:eastAsia="宋体" w:cs="宋体"/>
                <w:b/>
                <w:kern w:val="28"/>
                <w:sz w:val="21"/>
                <w:szCs w:val="21"/>
              </w:rPr>
            </w:pPr>
            <w:r>
              <w:rPr>
                <w:rFonts w:hint="eastAsia" w:ascii="宋体" w:hAnsi="宋体" w:eastAsia="宋体" w:cs="宋体"/>
                <w:b/>
                <w:kern w:val="28"/>
                <w:sz w:val="21"/>
                <w:szCs w:val="21"/>
              </w:rPr>
              <w:t>评标价计算公式：</w:t>
            </w:r>
          </w:p>
          <w:p>
            <w:pPr>
              <w:widowControl w:val="0"/>
              <w:adjustRightInd/>
              <w:spacing w:after="0" w:line="288" w:lineRule="auto"/>
              <w:ind w:right="-108" w:rightChars="-49" w:firstLine="18" w:firstLineChars="9"/>
              <w:rPr>
                <w:rFonts w:ascii="宋体" w:hAnsi="宋体" w:eastAsia="宋体" w:cs="宋体"/>
                <w:kern w:val="28"/>
                <w:sz w:val="21"/>
                <w:szCs w:val="21"/>
              </w:rPr>
            </w:pPr>
            <w:r>
              <w:rPr>
                <w:rFonts w:hint="eastAsia" w:ascii="宋体" w:hAnsi="宋体" w:eastAsia="宋体" w:cs="宋体"/>
                <w:sz w:val="21"/>
                <w:szCs w:val="21"/>
              </w:rPr>
              <w:t>评标价＝投标函文字报价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ascii="宋体" w:hAnsi="宋体" w:eastAsia="宋体" w:cs="宋体"/>
                <w:kern w:val="28"/>
                <w:sz w:val="21"/>
                <w:szCs w:val="21"/>
              </w:rPr>
            </w:pPr>
            <w:r>
              <w:rPr>
                <w:rFonts w:hint="eastAsia" w:ascii="宋体" w:hAnsi="宋体" w:eastAsia="宋体" w:cs="宋体"/>
                <w:kern w:val="28"/>
                <w:sz w:val="21"/>
                <w:szCs w:val="21"/>
              </w:rPr>
              <w:t>3.2.4</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288" w:lineRule="auto"/>
              <w:ind w:left="-2" w:leftChars="-1" w:right="-28"/>
              <w:jc w:val="center"/>
              <w:rPr>
                <w:rFonts w:ascii="宋体" w:hAnsi="宋体" w:eastAsia="宋体" w:cs="宋体"/>
                <w:kern w:val="28"/>
                <w:sz w:val="21"/>
                <w:szCs w:val="21"/>
              </w:rPr>
            </w:pPr>
            <w:r>
              <w:rPr>
                <w:rFonts w:hint="eastAsia" w:ascii="宋体" w:hAnsi="宋体" w:eastAsia="宋体" w:cs="宋体"/>
                <w:kern w:val="28"/>
                <w:sz w:val="21"/>
                <w:szCs w:val="21"/>
              </w:rPr>
              <w:t>通过投标文件第一个信封详细评审的投标人数量</w:t>
            </w:r>
          </w:p>
        </w:tc>
        <w:tc>
          <w:tcPr>
            <w:tcW w:w="7028"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288" w:lineRule="auto"/>
              <w:ind w:left="113" w:right="113" w:firstLine="211" w:firstLineChars="100"/>
              <w:jc w:val="both"/>
              <w:rPr>
                <w:rFonts w:ascii="宋体" w:hAnsi="宋体" w:eastAsia="宋体" w:cs="宋体"/>
                <w:kern w:val="28"/>
                <w:sz w:val="21"/>
                <w:szCs w:val="21"/>
              </w:rPr>
            </w:pPr>
            <w:r>
              <w:rPr>
                <w:rFonts w:hint="eastAsia" w:ascii="宋体" w:hAnsi="宋体" w:eastAsia="宋体" w:cs="宋体"/>
                <w:b/>
                <w:bCs/>
                <w:kern w:val="28"/>
                <w:sz w:val="21"/>
                <w:szCs w:val="21"/>
              </w:rPr>
              <w:t>按照投标人的商务和技术得分由高到低排序，选择前3名通过详细评审。</w:t>
            </w:r>
            <w:r>
              <w:rPr>
                <w:rFonts w:hint="eastAsia" w:ascii="宋体" w:hAnsi="宋体" w:eastAsia="宋体" w:cs="宋体"/>
                <w:kern w:val="28"/>
                <w:sz w:val="21"/>
                <w:szCs w:val="21"/>
              </w:rPr>
              <w:t>如果商务和技术得分相等，则施工组织设计得分较高的优先；如果施工组织设计得分也相等，则投标人满足资格审查条件(业绩最低要求)要求中的新建或改扩建高速公路工程施工业绩累计合同金额高的优先。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Times New Roman"/>
                <w:kern w:val="28"/>
                <w:sz w:val="24"/>
                <w:szCs w:val="24"/>
              </w:rPr>
            </w:pPr>
            <w:r>
              <w:rPr>
                <w:rFonts w:hint="eastAsia" w:ascii="宋体" w:hAnsi="宋体" w:eastAsia="宋体" w:cs="宋体"/>
                <w:kern w:val="28"/>
                <w:sz w:val="21"/>
                <w:szCs w:val="21"/>
              </w:rPr>
              <w:t>3.5.</w:t>
            </w:r>
            <w:r>
              <w:rPr>
                <w:rFonts w:ascii="宋体" w:hAnsi="宋体" w:eastAsia="宋体" w:cs="宋体"/>
                <w:kern w:val="28"/>
                <w:sz w:val="21"/>
                <w:szCs w:val="21"/>
              </w:rPr>
              <w:t>1</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276" w:lineRule="auto"/>
              <w:jc w:val="center"/>
              <w:rPr>
                <w:rFonts w:ascii="宋体" w:hAnsi="宋体" w:eastAsia="宋体" w:cs="Times New Roman"/>
                <w:kern w:val="28"/>
                <w:sz w:val="24"/>
                <w:szCs w:val="24"/>
              </w:rPr>
            </w:pPr>
            <w:r>
              <w:rPr>
                <w:rFonts w:ascii="宋体" w:hAnsi="宋体" w:eastAsia="宋体" w:cs="宋体"/>
                <w:kern w:val="28"/>
                <w:sz w:val="21"/>
                <w:szCs w:val="21"/>
              </w:rPr>
              <w:t>投标文件相关信息的核查</w:t>
            </w:r>
          </w:p>
        </w:tc>
        <w:tc>
          <w:tcPr>
            <w:tcW w:w="7028"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276" w:lineRule="auto"/>
              <w:rPr>
                <w:rFonts w:ascii="宋体" w:hAnsi="宋体" w:eastAsia="宋体" w:cs="宋体"/>
                <w:b/>
                <w:kern w:val="28"/>
                <w:sz w:val="21"/>
                <w:szCs w:val="21"/>
              </w:rPr>
            </w:pPr>
            <w:r>
              <w:rPr>
                <w:rFonts w:hint="eastAsia" w:ascii="宋体" w:hAnsi="宋体" w:eastAsia="宋体" w:cs="宋体"/>
                <w:b/>
                <w:kern w:val="28"/>
                <w:sz w:val="21"/>
                <w:szCs w:val="21"/>
              </w:rPr>
              <w:t>本款修改为：</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在评标过程中，评标委员会应对以下信息进行查询：</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（1）投标人名称和资质与“全国公路建设市场监督管理系统（https：//hwdms.mot.gov.cn/）”中的公路工程施工资质企业名录复核结果一致；（建筑工程施工总承包资质除外）</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（2）投标人的类似项目业绩详细信息网页截图的内容与“全国公路建设市场监督管理系统（https：//hwdms.mot.gov.cn/）”的复核结果一致；（房建业绩不适用）</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（3）所附项目经理、项目总工业绩的网页截图复印件与“全国公路建设市场监督管理系统（https：//hwdms.mot.gov.cn/）”复核的结果一致；</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所附项目经理一级注册建造师信息的网页截图复印件与“全国建筑市场监管公共服务平台（http：//jzsc.mohurd.gov.cn/）”复核的结果一致；</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所附项目经理、项目总工的安全生产考核合格证的网页截图复印件与“交通运输部公路水运工程企业负责人和安全生产管理人员信息公共平台查询网站（http：//219.143.235.78：8080/khglui/）”复核的结果一致。</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w:t>
            </w:r>
            <w:r>
              <w:rPr>
                <w:rFonts w:ascii="宋体" w:hAnsi="宋体" w:eastAsia="宋体" w:cs="宋体"/>
                <w:kern w:val="28"/>
                <w:sz w:val="21"/>
                <w:szCs w:val="21"/>
              </w:rPr>
              <w:t>4</w:t>
            </w:r>
            <w:r>
              <w:rPr>
                <w:rFonts w:hint="eastAsia" w:ascii="宋体" w:hAnsi="宋体" w:eastAsia="宋体" w:cs="宋体"/>
                <w:kern w:val="28"/>
                <w:sz w:val="21"/>
                <w:szCs w:val="21"/>
              </w:rPr>
              <w:t>）投标人信用情况网页截图内容与在“国家企业信用信息公示系统”中严重违法失信名单（黑名单）信息（不含分公司）或在“信用中国”网站中“失信被执行人名单、经营异常名录、重大税收违法失信主体、政府采购严重违法失信行为记录名单（均不含分公司）的复核结果一致。</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前述（1）、（2）、（3）、（</w:t>
            </w:r>
            <w:r>
              <w:rPr>
                <w:rFonts w:ascii="宋体" w:hAnsi="宋体" w:eastAsia="宋体" w:cs="宋体"/>
                <w:kern w:val="28"/>
                <w:sz w:val="21"/>
                <w:szCs w:val="21"/>
              </w:rPr>
              <w:t>4</w:t>
            </w:r>
            <w:r>
              <w:rPr>
                <w:rFonts w:hint="eastAsia" w:ascii="宋体" w:hAnsi="宋体" w:eastAsia="宋体" w:cs="宋体"/>
                <w:kern w:val="28"/>
                <w:sz w:val="21"/>
                <w:szCs w:val="21"/>
              </w:rPr>
              <w:t>）项如投标人未提供相关网页截图或所附截图与复核结果不一致，评标委员会应否决其投标。</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widowControl w:val="0"/>
              <w:adjustRightInd/>
              <w:spacing w:after="0" w:line="276" w:lineRule="auto"/>
              <w:ind w:firstLine="279" w:firstLineChars="133"/>
              <w:rPr>
                <w:rFonts w:ascii="宋体" w:hAnsi="宋体" w:eastAsia="宋体" w:cs="Times New Roman"/>
                <w:kern w:val="28"/>
                <w:sz w:val="24"/>
                <w:szCs w:val="24"/>
              </w:rPr>
            </w:pPr>
            <w:r>
              <w:rPr>
                <w:rFonts w:hint="eastAsia" w:ascii="宋体" w:hAnsi="宋体" w:eastAsia="宋体" w:cs="宋体"/>
                <w:kern w:val="28"/>
                <w:sz w:val="21"/>
                <w:szCs w:val="21"/>
              </w:rPr>
              <w:t>（5）评标委员会在评标时按照投标人提供的验证方式对电子保函或电子保证保险进行验证。如投标人未提供电子保函或电子保证保险的验证方式，或根据提供的验证方式无法核实的，评标委员会应否决其投标。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Times New Roman"/>
                <w:kern w:val="28"/>
                <w:sz w:val="24"/>
                <w:szCs w:val="24"/>
              </w:rPr>
            </w:pPr>
            <w:r>
              <w:rPr>
                <w:rFonts w:hint="eastAsia" w:ascii="宋体" w:hAnsi="宋体" w:eastAsia="宋体" w:cs="宋体"/>
                <w:kern w:val="28"/>
                <w:sz w:val="21"/>
                <w:szCs w:val="21"/>
              </w:rPr>
              <w:t>3.9</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276" w:lineRule="auto"/>
              <w:jc w:val="center"/>
              <w:rPr>
                <w:rFonts w:ascii="宋体" w:hAnsi="宋体" w:eastAsia="宋体" w:cs="宋体"/>
                <w:kern w:val="28"/>
                <w:sz w:val="21"/>
                <w:szCs w:val="21"/>
              </w:rPr>
            </w:pPr>
            <w:r>
              <w:rPr>
                <w:rFonts w:hint="eastAsia" w:ascii="宋体" w:hAnsi="宋体" w:eastAsia="宋体" w:cs="宋体"/>
                <w:kern w:val="28"/>
                <w:sz w:val="21"/>
                <w:szCs w:val="21"/>
              </w:rPr>
              <w:t>评标结果</w:t>
            </w:r>
          </w:p>
        </w:tc>
        <w:tc>
          <w:tcPr>
            <w:tcW w:w="7028"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3.9.1评标委员会按照综合得分由高到低的顺序推荐不超过三名的中标候选人（中标候选人名单不排序）。</w:t>
            </w:r>
          </w:p>
          <w:p>
            <w:pPr>
              <w:widowControl w:val="0"/>
              <w:adjustRightInd/>
              <w:spacing w:after="0" w:line="276" w:lineRule="auto"/>
              <w:ind w:firstLine="279" w:firstLineChars="133"/>
              <w:rPr>
                <w:rFonts w:ascii="宋体" w:hAnsi="宋体" w:eastAsia="宋体" w:cs="Times New Roman"/>
                <w:kern w:val="28"/>
                <w:sz w:val="28"/>
                <w:szCs w:val="20"/>
              </w:rPr>
            </w:pPr>
            <w:r>
              <w:rPr>
                <w:rFonts w:hint="eastAsia" w:ascii="宋体" w:hAnsi="宋体" w:eastAsia="宋体" w:cs="宋体"/>
                <w:kern w:val="28"/>
                <w:sz w:val="21"/>
                <w:szCs w:val="21"/>
              </w:rPr>
              <w:t>3.9.2评标委员会在评标完成后将评标报告提交给招标人。评标报告应包括中标候选人的推荐理由(特点、优势、风险)和评标结论、否决投标的情况说明,以及评标过程需说明的其他事项等。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464"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276" w:lineRule="auto"/>
              <w:rPr>
                <w:rFonts w:ascii="宋体" w:hAnsi="宋体" w:eastAsia="宋体" w:cs="宋体"/>
                <w:b/>
                <w:kern w:val="28"/>
                <w:sz w:val="21"/>
                <w:szCs w:val="21"/>
              </w:rPr>
            </w:pPr>
            <w:r>
              <w:rPr>
                <w:rFonts w:hint="eastAsia" w:ascii="宋体" w:hAnsi="宋体" w:eastAsia="宋体" w:cs="宋体"/>
                <w:b/>
                <w:kern w:val="28"/>
                <w:sz w:val="21"/>
                <w:szCs w:val="21"/>
              </w:rPr>
              <w:t>需补充的其他内容：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01" w:type="dxa"/>
            <w:gridSpan w:val="2"/>
            <w:tcBorders>
              <w:top w:val="single" w:color="auto" w:sz="4" w:space="0"/>
              <w:left w:val="single" w:color="auto" w:sz="4" w:space="0"/>
              <w:right w:val="single" w:color="auto" w:sz="4" w:space="0"/>
            </w:tcBorders>
            <w:vAlign w:val="center"/>
          </w:tcPr>
          <w:p>
            <w:pPr>
              <w:widowControl w:val="0"/>
              <w:adjustRightInd/>
              <w:spacing w:after="0" w:line="276" w:lineRule="auto"/>
              <w:jc w:val="center"/>
              <w:rPr>
                <w:rFonts w:ascii="宋体" w:hAnsi="宋体" w:eastAsia="宋体" w:cs="宋体"/>
                <w:kern w:val="2"/>
                <w:sz w:val="21"/>
                <w:szCs w:val="21"/>
              </w:rPr>
            </w:pPr>
            <w:r>
              <w:rPr>
                <w:rFonts w:hint="eastAsia" w:ascii="宋体" w:hAnsi="宋体" w:eastAsia="宋体" w:cs="宋体"/>
                <w:kern w:val="28"/>
                <w:sz w:val="21"/>
                <w:szCs w:val="21"/>
              </w:rPr>
              <w:t>4</w:t>
            </w:r>
          </w:p>
        </w:tc>
        <w:tc>
          <w:tcPr>
            <w:tcW w:w="1535" w:type="dxa"/>
            <w:tcBorders>
              <w:top w:val="single" w:color="auto" w:sz="4" w:space="0"/>
              <w:left w:val="single" w:color="auto" w:sz="4" w:space="0"/>
              <w:right w:val="single" w:color="auto" w:sz="4" w:space="0"/>
            </w:tcBorders>
            <w:vAlign w:val="center"/>
          </w:tcPr>
          <w:p>
            <w:pPr>
              <w:widowControl w:val="0"/>
              <w:adjustRightInd/>
              <w:spacing w:after="0" w:line="276" w:lineRule="auto"/>
              <w:jc w:val="center"/>
              <w:rPr>
                <w:rFonts w:ascii="宋体" w:hAnsi="宋体" w:eastAsia="宋体" w:cs="宋体"/>
                <w:kern w:val="28"/>
                <w:sz w:val="28"/>
                <w:szCs w:val="21"/>
              </w:rPr>
            </w:pPr>
            <w:r>
              <w:rPr>
                <w:rFonts w:hint="eastAsia" w:ascii="宋体" w:hAnsi="宋体" w:eastAsia="宋体" w:cs="宋体"/>
                <w:kern w:val="28"/>
                <w:sz w:val="21"/>
                <w:szCs w:val="21"/>
              </w:rPr>
              <w:t>定标方法</w:t>
            </w:r>
          </w:p>
        </w:tc>
        <w:tc>
          <w:tcPr>
            <w:tcW w:w="7028" w:type="dxa"/>
            <w:tcBorders>
              <w:top w:val="single" w:color="auto" w:sz="4" w:space="0"/>
              <w:left w:val="single" w:color="auto" w:sz="4" w:space="0"/>
              <w:right w:val="single" w:color="auto" w:sz="4" w:space="0"/>
            </w:tcBorders>
            <w:vAlign w:val="center"/>
          </w:tcPr>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4.定标办法</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4.1定标委员会组成</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定标委员会由招标人负责组建，成员数量为五人。</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招标人组建定标委员会开展定标工作，定标委员会名单在中标结果确定前保密。定标委员会应当在定标会上推举定标委员会主任。定标委员会成员与中标候选人有利害关系的应主动说明并申请回避。</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4.2定标因素</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招标人或者招标代理机构在定标会上可以介绍项目情况、招标情况、评标情况及对中标候选人的考察、质询情况（如有）。</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定标因素：价格因素、投标方案、企业实力、企业信誉、拟派团队能力与水平等。</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4.3定标方法</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票决法：定标委员会成员根据定标因素对各中标候选人进行比较后，遵循择优的原则进行票决。票决采取投票计分法，即各定标委员会成员对所有中标候选人进行打分，最优的中标候选人得N分，其次的中标候选人得N-1分，以此类推（N为评标委员会推荐的中标候选人数量），定标委员会根据总分从高到低排名确定中标候选人的定标排序。</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总分得分相同的，由定标委员会对得分相同的中标候选人进行再次票决确定排名。</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定标委员会确定定标排序第一名的中标候选人为中标人。</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4.4定标报告</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定标委员会应当按照招标文件规定的定标方法形成定标报告，提交给招标人。定标报告应包括定标时间、定标程序、定标委员会名单、定标因素、定标办法、定标理由、定标结果等内容。</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排名第一的中标候选人放弃中标、因不可抗力不能履行合同、不按照招标文件要求提交履约保证金或者被查实存在影响中标结果的违法行为等情形，不符合中标条件的，招标人可以按照定标排序依次确定其他中标候选人为中标人，也可以重新招标。</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招标人应将定标报告作为招标投标情况报告的一部分，报送招标投标行政监督部门。</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4.5中标结果公告</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招标人应当在定标工作完成后的3日内，发布中标结果公告。</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4.6保密要求</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招标人、定标委员会成员及相关工作人员应当严格遵守保密规定，不得以任何形式向外透露定标委员会成员名单、中标人推荐以及与定标有关的其他情况。</w:t>
            </w:r>
          </w:p>
          <w:p>
            <w:pPr>
              <w:widowControl w:val="0"/>
              <w:adjustRightInd/>
              <w:spacing w:after="0" w:line="276" w:lineRule="auto"/>
              <w:ind w:firstLine="279" w:firstLineChars="133"/>
              <w:rPr>
                <w:rFonts w:ascii="宋体" w:hAnsi="宋体" w:eastAsia="宋体" w:cs="宋体"/>
                <w:kern w:val="28"/>
                <w:sz w:val="21"/>
                <w:szCs w:val="21"/>
              </w:rPr>
            </w:pPr>
            <w:r>
              <w:rPr>
                <w:rFonts w:hint="eastAsia" w:ascii="宋体" w:hAnsi="宋体" w:eastAsia="宋体" w:cs="宋体"/>
                <w:kern w:val="28"/>
                <w:sz w:val="21"/>
                <w:szCs w:val="21"/>
              </w:rPr>
              <w:t>4.7定标资料存档</w:t>
            </w:r>
          </w:p>
          <w:p>
            <w:pPr>
              <w:widowControl w:val="0"/>
              <w:adjustRightInd/>
              <w:spacing w:after="0" w:line="276" w:lineRule="auto"/>
              <w:ind w:firstLine="279" w:firstLineChars="133"/>
              <w:rPr>
                <w:rFonts w:ascii="宋体" w:hAnsi="宋体" w:eastAsia="宋体" w:cs="Times New Roman"/>
                <w:kern w:val="28"/>
                <w:sz w:val="28"/>
                <w:szCs w:val="20"/>
              </w:rPr>
            </w:pPr>
            <w:r>
              <w:rPr>
                <w:rFonts w:hint="eastAsia" w:ascii="宋体" w:hAnsi="宋体" w:eastAsia="宋体" w:cs="宋体"/>
                <w:kern w:val="28"/>
                <w:sz w:val="21"/>
                <w:szCs w:val="21"/>
              </w:rPr>
              <w:t>招标人应对定标会议全程录音录像，并统一密封保存定标投票表、过程记录、录音录像等书面或影音资料，存档备查。</w:t>
            </w:r>
          </w:p>
        </w:tc>
      </w:tr>
      <w:bookmarkEnd w:id="18"/>
      <w:bookmarkEnd w:id="19"/>
      <w:bookmarkEnd w:id="20"/>
      <w:bookmarkEnd w:id="21"/>
      <w:bookmarkEnd w:id="22"/>
    </w:tbl>
    <w:p>
      <w:pPr>
        <w:widowControl w:val="0"/>
        <w:adjustRightInd/>
        <w:snapToGrid/>
        <w:spacing w:after="0"/>
        <w:jc w:val="both"/>
        <w:rPr>
          <w:rFonts w:ascii="宋体" w:hAnsi="宋体" w:eastAsia="宋体" w:cs="宋体"/>
          <w:kern w:val="28"/>
          <w:sz w:val="21"/>
          <w:szCs w:val="21"/>
        </w:rPr>
      </w:pPr>
    </w:p>
    <w:p>
      <w:pPr>
        <w:widowControl w:val="0"/>
        <w:adjustRightInd/>
        <w:snapToGrid/>
        <w:spacing w:after="0"/>
        <w:jc w:val="both"/>
        <w:rPr>
          <w:rFonts w:ascii="宋体" w:hAnsi="宋体" w:eastAsia="宋体" w:cs="宋体"/>
          <w:b/>
          <w:kern w:val="28"/>
          <w:sz w:val="21"/>
          <w:szCs w:val="21"/>
        </w:rPr>
      </w:pPr>
    </w:p>
    <w:p>
      <w:pPr>
        <w:widowControl w:val="0"/>
        <w:adjustRightInd/>
        <w:snapToGrid/>
        <w:spacing w:after="0"/>
        <w:jc w:val="both"/>
        <w:rPr>
          <w:rFonts w:ascii="宋体" w:hAnsi="宋体" w:eastAsia="宋体" w:cs="宋体"/>
          <w:b/>
          <w:kern w:val="28"/>
          <w:sz w:val="21"/>
          <w:szCs w:val="21"/>
        </w:rPr>
      </w:pPr>
    </w:p>
    <w:p>
      <w:pPr>
        <w:widowControl w:val="0"/>
        <w:adjustRightInd/>
        <w:snapToGrid/>
        <w:spacing w:after="0"/>
        <w:jc w:val="both"/>
        <w:rPr>
          <w:rFonts w:ascii="宋体" w:hAnsi="宋体" w:eastAsia="宋体" w:cs="宋体"/>
          <w:b/>
          <w:kern w:val="28"/>
          <w:sz w:val="21"/>
          <w:szCs w:val="21"/>
        </w:rPr>
      </w:pPr>
      <w:r>
        <w:rPr>
          <w:rFonts w:hint="eastAsia" w:ascii="宋体" w:hAnsi="宋体" w:eastAsia="宋体" w:cs="宋体"/>
          <w:b/>
          <w:kern w:val="28"/>
          <w:sz w:val="21"/>
          <w:szCs w:val="21"/>
        </w:rPr>
        <w:br w:type="page"/>
      </w:r>
      <w:r>
        <w:rPr>
          <w:rFonts w:hint="eastAsia" w:ascii="宋体" w:hAnsi="宋体" w:eastAsia="宋体" w:cs="宋体"/>
          <w:b/>
          <w:kern w:val="28"/>
          <w:sz w:val="21"/>
          <w:szCs w:val="21"/>
        </w:rPr>
        <w:t>具体评分标准如下：</w:t>
      </w:r>
    </w:p>
    <w:tbl>
      <w:tblPr>
        <w:tblStyle w:val="4"/>
        <w:tblW w:w="50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992"/>
        <w:gridCol w:w="1136"/>
        <w:gridCol w:w="2289"/>
        <w:gridCol w:w="766"/>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2" w:type="pct"/>
            <w:gridSpan w:val="5"/>
            <w:vAlign w:val="center"/>
          </w:tcPr>
          <w:p>
            <w:pPr>
              <w:widowControl w:val="0"/>
              <w:autoSpaceDE w:val="0"/>
              <w:autoSpaceDN w:val="0"/>
              <w:adjustRightInd/>
              <w:snapToGrid/>
              <w:spacing w:after="0"/>
              <w:jc w:val="center"/>
              <w:rPr>
                <w:rFonts w:ascii="宋体" w:hAnsi="宋体" w:eastAsia="宋体" w:cs="宋体"/>
                <w:sz w:val="21"/>
                <w:szCs w:val="21"/>
                <w:lang w:val="zh-CN" w:bidi="zh-CN"/>
              </w:rPr>
            </w:pPr>
            <w:r>
              <w:rPr>
                <w:rFonts w:hint="eastAsia" w:ascii="宋体" w:hAnsi="宋体" w:eastAsia="宋体" w:cs="宋体"/>
                <w:sz w:val="21"/>
                <w:szCs w:val="21"/>
                <w:lang w:val="zh-CN" w:bidi="zh-CN"/>
              </w:rPr>
              <w:t>评分因素与权重分值</w:t>
            </w:r>
          </w:p>
        </w:tc>
        <w:tc>
          <w:tcPr>
            <w:tcW w:w="1877" w:type="pct"/>
            <w:vMerge w:val="restart"/>
            <w:vAlign w:val="center"/>
          </w:tcPr>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16" w:type="pct"/>
            <w:vAlign w:val="center"/>
          </w:tcPr>
          <w:p>
            <w:pPr>
              <w:widowControl w:val="0"/>
              <w:adjustRightInd/>
              <w:snapToGrid/>
              <w:spacing w:after="0"/>
              <w:ind w:left="-10" w:leftChars="-95" w:right="-244" w:rightChars="-111" w:hanging="199" w:hangingChars="95"/>
              <w:jc w:val="center"/>
              <w:rPr>
                <w:rFonts w:ascii="宋体" w:hAnsi="宋体" w:eastAsia="宋体" w:cs="宋体"/>
                <w:kern w:val="28"/>
                <w:sz w:val="21"/>
                <w:szCs w:val="21"/>
              </w:rPr>
            </w:pPr>
            <w:r>
              <w:rPr>
                <w:rFonts w:hint="eastAsia" w:ascii="宋体" w:hAnsi="宋体" w:eastAsia="宋体" w:cs="宋体"/>
                <w:kern w:val="28"/>
                <w:sz w:val="21"/>
                <w:szCs w:val="21"/>
              </w:rPr>
              <w:t>条款号</w:t>
            </w:r>
          </w:p>
        </w:tc>
        <w:tc>
          <w:tcPr>
            <w:tcW w:w="518" w:type="pct"/>
            <w:vAlign w:val="center"/>
          </w:tcPr>
          <w:p>
            <w:pPr>
              <w:widowControl w:val="0"/>
              <w:adjustRightInd/>
              <w:snapToGrid/>
              <w:spacing w:after="0"/>
              <w:ind w:left="-10" w:leftChars="-95" w:right="-244" w:rightChars="-111" w:hanging="199" w:hangingChars="95"/>
              <w:jc w:val="center"/>
              <w:rPr>
                <w:rFonts w:ascii="宋体" w:hAnsi="宋体" w:eastAsia="宋体" w:cs="宋体"/>
                <w:kern w:val="28"/>
                <w:sz w:val="21"/>
                <w:szCs w:val="21"/>
              </w:rPr>
            </w:pPr>
            <w:r>
              <w:rPr>
                <w:rFonts w:hint="eastAsia" w:ascii="宋体" w:hAnsi="宋体" w:eastAsia="宋体" w:cs="宋体"/>
                <w:kern w:val="28"/>
                <w:sz w:val="21"/>
                <w:szCs w:val="21"/>
              </w:rPr>
              <w:t>评分因素</w:t>
            </w:r>
          </w:p>
        </w:tc>
        <w:tc>
          <w:tcPr>
            <w:tcW w:w="593" w:type="pct"/>
            <w:vAlign w:val="center"/>
          </w:tcPr>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评分因素权重分值</w:t>
            </w:r>
          </w:p>
        </w:tc>
        <w:tc>
          <w:tcPr>
            <w:tcW w:w="1195" w:type="pct"/>
            <w:vAlign w:val="center"/>
          </w:tcPr>
          <w:p>
            <w:pPr>
              <w:widowControl w:val="0"/>
              <w:autoSpaceDE w:val="0"/>
              <w:autoSpaceDN w:val="0"/>
              <w:adjustRightInd/>
              <w:snapToGrid/>
              <w:spacing w:after="0"/>
              <w:jc w:val="center"/>
              <w:rPr>
                <w:rFonts w:ascii="宋体" w:hAnsi="宋体" w:eastAsia="宋体" w:cs="宋体"/>
                <w:sz w:val="21"/>
                <w:szCs w:val="21"/>
                <w:lang w:val="zh-CN" w:bidi="zh-CN"/>
              </w:rPr>
            </w:pPr>
            <w:r>
              <w:rPr>
                <w:rFonts w:hint="eastAsia" w:ascii="宋体" w:hAnsi="宋体" w:eastAsia="宋体" w:cs="宋体"/>
                <w:sz w:val="21"/>
                <w:szCs w:val="21"/>
                <w:lang w:val="zh-CN" w:bidi="zh-CN"/>
              </w:rPr>
              <w:t>各评分因素细分项</w:t>
            </w:r>
          </w:p>
        </w:tc>
        <w:tc>
          <w:tcPr>
            <w:tcW w:w="398" w:type="pct"/>
            <w:vAlign w:val="center"/>
          </w:tcPr>
          <w:p>
            <w:pPr>
              <w:widowControl w:val="0"/>
              <w:autoSpaceDE w:val="0"/>
              <w:autoSpaceDN w:val="0"/>
              <w:adjustRightInd/>
              <w:snapToGrid/>
              <w:spacing w:after="0"/>
              <w:jc w:val="center"/>
              <w:rPr>
                <w:rFonts w:ascii="宋体" w:hAnsi="宋体" w:eastAsia="宋体" w:cs="宋体"/>
                <w:sz w:val="21"/>
                <w:szCs w:val="21"/>
                <w:lang w:val="zh-CN" w:bidi="zh-CN"/>
              </w:rPr>
            </w:pPr>
            <w:r>
              <w:rPr>
                <w:rFonts w:hint="eastAsia" w:ascii="宋体" w:hAnsi="宋体" w:eastAsia="宋体" w:cs="宋体"/>
                <w:sz w:val="21"/>
                <w:szCs w:val="21"/>
                <w:lang w:val="zh-CN" w:bidi="zh-CN"/>
              </w:rPr>
              <w:t>分值</w:t>
            </w:r>
          </w:p>
        </w:tc>
        <w:tc>
          <w:tcPr>
            <w:tcW w:w="1877" w:type="pct"/>
            <w:vMerge w:val="continue"/>
            <w:vAlign w:val="center"/>
          </w:tcPr>
          <w:p>
            <w:pPr>
              <w:widowControl w:val="0"/>
              <w:adjustRightInd/>
              <w:snapToGrid/>
              <w:spacing w:after="0"/>
              <w:jc w:val="both"/>
              <w:rPr>
                <w:rFonts w:ascii="宋体" w:hAnsi="宋体" w:eastAsia="宋体" w:cs="宋体"/>
                <w:kern w:val="2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restart"/>
            <w:vAlign w:val="center"/>
          </w:tcPr>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2.2.2（1）</w:t>
            </w:r>
          </w:p>
        </w:tc>
        <w:tc>
          <w:tcPr>
            <w:tcW w:w="518" w:type="pct"/>
            <w:vMerge w:val="restart"/>
            <w:vAlign w:val="center"/>
          </w:tcPr>
          <w:p>
            <w:pPr>
              <w:widowControl w:val="0"/>
              <w:tabs>
                <w:tab w:val="left" w:pos="840"/>
              </w:tabs>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施工组织设计</w:t>
            </w:r>
          </w:p>
          <w:p>
            <w:pPr>
              <w:widowControl w:val="0"/>
              <w:tabs>
                <w:tab w:val="left" w:pos="840"/>
              </w:tabs>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（暗标）</w:t>
            </w:r>
          </w:p>
        </w:tc>
        <w:tc>
          <w:tcPr>
            <w:tcW w:w="593"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40分</w:t>
            </w:r>
          </w:p>
        </w:tc>
        <w:tc>
          <w:tcPr>
            <w:tcW w:w="1195"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总体施工组织布置</w:t>
            </w:r>
          </w:p>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及规划</w:t>
            </w:r>
          </w:p>
        </w:tc>
        <w:tc>
          <w:tcPr>
            <w:tcW w:w="398"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5.0</w:t>
            </w: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内容齐全，措施合理，得4.0（不含）-5.0（含）分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vAlign w:val="center"/>
          </w:tcPr>
          <w:p>
            <w:pPr>
              <w:widowControl w:val="0"/>
              <w:adjustRightInd/>
              <w:snapToGrid/>
              <w:spacing w:after="0"/>
              <w:jc w:val="center"/>
              <w:rPr>
                <w:rFonts w:ascii="宋体" w:hAnsi="宋体" w:eastAsia="宋体" w:cs="宋体"/>
                <w:kern w:val="28"/>
                <w:sz w:val="21"/>
                <w:szCs w:val="21"/>
              </w:rPr>
            </w:pPr>
          </w:p>
        </w:tc>
        <w:tc>
          <w:tcPr>
            <w:tcW w:w="518" w:type="pct"/>
            <w:vMerge w:val="continue"/>
            <w:vAlign w:val="center"/>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vAlign w:val="center"/>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内容较齐全，措施较合理，得3.0（不含）-4.0（含）分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vAlign w:val="center"/>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一般，得3.0（含）分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主要工程项目的施工</w:t>
            </w:r>
          </w:p>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方案、方法与技术措施</w:t>
            </w:r>
          </w:p>
        </w:tc>
        <w:tc>
          <w:tcPr>
            <w:tcW w:w="398"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10.0</w:t>
            </w: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科学合理、齐全完整，得8.0（不含）-10.0（含）分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vAlign w:val="center"/>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较科学合理、较齐全完整，得6.0（不含）-8.0（含）分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vAlign w:val="center"/>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一般，得6.0（含）分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工期保证体系</w:t>
            </w:r>
          </w:p>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及保证措施</w:t>
            </w:r>
          </w:p>
        </w:tc>
        <w:tc>
          <w:tcPr>
            <w:tcW w:w="398"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5.0</w:t>
            </w: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科学合理、齐全完整，得4.0（不含）-5.0（含）分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vAlign w:val="center"/>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较科学合理、较齐全完整，得3.0（不含）-4.0（含）分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vAlign w:val="center"/>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一般，得3.0（含）分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工程质量管理体系</w:t>
            </w:r>
          </w:p>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及保证措施</w:t>
            </w:r>
          </w:p>
        </w:tc>
        <w:tc>
          <w:tcPr>
            <w:tcW w:w="398"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5.0</w:t>
            </w: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科学合理、齐全完整，得4.0（不含）-5.0（含）分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vAlign w:val="center"/>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较科学合理、较齐全完整，得3.0（不含）-4.0（含）分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vAlign w:val="center"/>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一般，得3.0（含）分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安全生产管理体系</w:t>
            </w:r>
          </w:p>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及保证措施</w:t>
            </w:r>
          </w:p>
        </w:tc>
        <w:tc>
          <w:tcPr>
            <w:tcW w:w="398"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5.0</w:t>
            </w: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科学合理、齐全完整，得4.0（不含）-5.0（含）分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vAlign w:val="center"/>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较科学合理、较齐全完整，得3.0（不含）-4.0（含）分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vAlign w:val="center"/>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一般，得3.0（含）分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环境保护、水土保持</w:t>
            </w:r>
          </w:p>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保证体系及保证措施</w:t>
            </w:r>
          </w:p>
          <w:p>
            <w:pPr>
              <w:widowControl w:val="0"/>
              <w:spacing w:after="0"/>
              <w:jc w:val="center"/>
              <w:rPr>
                <w:rFonts w:ascii="宋体" w:hAnsi="宋体" w:eastAsia="宋体" w:cs="宋体"/>
                <w:kern w:val="28"/>
                <w:sz w:val="21"/>
                <w:szCs w:val="21"/>
              </w:rPr>
            </w:pPr>
          </w:p>
        </w:tc>
        <w:tc>
          <w:tcPr>
            <w:tcW w:w="398"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4.0</w:t>
            </w: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科学合理、齐全完整，得3.2（不含）-4.0（含）分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vAlign w:val="center"/>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较科学合理、较齐全完整，得2.4（不含）-3.2（含）分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vAlign w:val="center"/>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一般，得2.4（含）分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文明施工保证体系</w:t>
            </w:r>
          </w:p>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及保证措施</w:t>
            </w:r>
          </w:p>
        </w:tc>
        <w:tc>
          <w:tcPr>
            <w:tcW w:w="398"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3.0</w:t>
            </w: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科学合理、齐全完整，得2.4（不含）-3.0（含）分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vAlign w:val="center"/>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较科学合理、较齐全完整，得1.8（不含）-2.4（含）分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vAlign w:val="center"/>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一般，得1.8（含）分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项目风险预测与防范，事故应急预案</w:t>
            </w:r>
          </w:p>
        </w:tc>
        <w:tc>
          <w:tcPr>
            <w:tcW w:w="398" w:type="pct"/>
            <w:vMerge w:val="restart"/>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3.0</w:t>
            </w: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科学合理、齐全完整，得2.4（不含）-3.0（含）分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较科学合理、较齐全完整，得1.8（不含）-2.4（含）分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Merge w:val="continue"/>
          </w:tcPr>
          <w:p>
            <w:pPr>
              <w:widowControl w:val="0"/>
              <w:adjustRightInd/>
              <w:snapToGrid/>
              <w:spacing w:after="0"/>
              <w:jc w:val="center"/>
              <w:rPr>
                <w:rFonts w:ascii="宋体" w:hAnsi="宋体" w:eastAsia="宋体" w:cs="宋体"/>
                <w:kern w:val="28"/>
                <w:sz w:val="21"/>
                <w:szCs w:val="21"/>
              </w:rPr>
            </w:pPr>
          </w:p>
        </w:tc>
        <w:tc>
          <w:tcPr>
            <w:tcW w:w="518" w:type="pct"/>
            <w:vMerge w:val="continue"/>
          </w:tcPr>
          <w:p>
            <w:pPr>
              <w:widowControl w:val="0"/>
              <w:adjustRightInd/>
              <w:snapToGrid/>
              <w:spacing w:after="0"/>
              <w:jc w:val="center"/>
              <w:rPr>
                <w:rFonts w:ascii="宋体" w:hAnsi="宋体" w:eastAsia="宋体" w:cs="宋体"/>
                <w:kern w:val="28"/>
                <w:sz w:val="21"/>
                <w:szCs w:val="21"/>
              </w:rPr>
            </w:pPr>
          </w:p>
        </w:tc>
        <w:tc>
          <w:tcPr>
            <w:tcW w:w="593" w:type="pct"/>
            <w:vMerge w:val="continue"/>
          </w:tcPr>
          <w:p>
            <w:pPr>
              <w:widowControl w:val="0"/>
              <w:spacing w:after="0"/>
              <w:jc w:val="center"/>
              <w:rPr>
                <w:rFonts w:ascii="宋体" w:hAnsi="宋体" w:eastAsia="宋体" w:cs="宋体"/>
                <w:kern w:val="28"/>
                <w:sz w:val="21"/>
                <w:szCs w:val="21"/>
              </w:rPr>
            </w:pPr>
          </w:p>
        </w:tc>
        <w:tc>
          <w:tcPr>
            <w:tcW w:w="1195" w:type="pct"/>
            <w:vMerge w:val="continue"/>
          </w:tcPr>
          <w:p>
            <w:pPr>
              <w:widowControl w:val="0"/>
              <w:spacing w:after="0"/>
              <w:jc w:val="center"/>
              <w:rPr>
                <w:rFonts w:ascii="宋体" w:hAnsi="宋体" w:eastAsia="宋体" w:cs="宋体"/>
                <w:kern w:val="28"/>
                <w:sz w:val="21"/>
                <w:szCs w:val="21"/>
              </w:rPr>
            </w:pPr>
          </w:p>
        </w:tc>
        <w:tc>
          <w:tcPr>
            <w:tcW w:w="398" w:type="pct"/>
            <w:vMerge w:val="continue"/>
            <w:vAlign w:val="center"/>
          </w:tcPr>
          <w:p>
            <w:pPr>
              <w:widowControl w:val="0"/>
              <w:spacing w:after="0"/>
              <w:jc w:val="center"/>
              <w:rPr>
                <w:rFonts w:ascii="宋体" w:hAnsi="宋体" w:eastAsia="宋体" w:cs="宋体"/>
                <w:kern w:val="28"/>
                <w:sz w:val="21"/>
                <w:szCs w:val="21"/>
              </w:rPr>
            </w:pPr>
          </w:p>
        </w:tc>
        <w:tc>
          <w:tcPr>
            <w:tcW w:w="1877" w:type="pct"/>
            <w:vAlign w:val="center"/>
          </w:tcPr>
          <w:p>
            <w:pPr>
              <w:widowControl w:val="0"/>
              <w:spacing w:after="0"/>
              <w:jc w:val="both"/>
              <w:rPr>
                <w:rFonts w:ascii="宋体" w:hAnsi="宋体" w:eastAsia="宋体" w:cs="宋体"/>
                <w:kern w:val="28"/>
                <w:sz w:val="21"/>
                <w:szCs w:val="21"/>
              </w:rPr>
            </w:pPr>
            <w:r>
              <w:rPr>
                <w:rFonts w:hint="eastAsia" w:ascii="宋体" w:hAnsi="宋体" w:eastAsia="宋体" w:cs="宋体"/>
                <w:kern w:val="28"/>
                <w:sz w:val="21"/>
                <w:szCs w:val="21"/>
              </w:rPr>
              <w:t>一般，得1.8（含）分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Merge w:val="restart"/>
            <w:vAlign w:val="center"/>
          </w:tcPr>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2.2.2（3）</w:t>
            </w:r>
          </w:p>
        </w:tc>
        <w:tc>
          <w:tcPr>
            <w:tcW w:w="518" w:type="pct"/>
            <w:vMerge w:val="restart"/>
            <w:vAlign w:val="center"/>
          </w:tcPr>
          <w:p>
            <w:pPr>
              <w:widowControl w:val="0"/>
              <w:adjustRightInd/>
              <w:snapToGrid/>
              <w:spacing w:after="0"/>
              <w:ind w:right="-59" w:rightChars="-27"/>
              <w:jc w:val="center"/>
              <w:rPr>
                <w:rFonts w:ascii="宋体" w:hAnsi="宋体" w:eastAsia="宋体" w:cs="宋体"/>
                <w:kern w:val="28"/>
                <w:sz w:val="21"/>
                <w:szCs w:val="21"/>
              </w:rPr>
            </w:pPr>
            <w:r>
              <w:rPr>
                <w:rFonts w:hint="eastAsia" w:ascii="宋体" w:hAnsi="宋体" w:eastAsia="宋体" w:cs="宋体"/>
                <w:kern w:val="28"/>
                <w:sz w:val="21"/>
                <w:szCs w:val="21"/>
              </w:rPr>
              <w:t>主要人员</w:t>
            </w:r>
          </w:p>
        </w:tc>
        <w:tc>
          <w:tcPr>
            <w:tcW w:w="593" w:type="pct"/>
            <w:vMerge w:val="restart"/>
            <w:tcBorders>
              <w:right w:val="single" w:color="auto" w:sz="4" w:space="0"/>
            </w:tcBorders>
            <w:vAlign w:val="center"/>
          </w:tcPr>
          <w:p>
            <w:pPr>
              <w:widowControl w:val="0"/>
              <w:spacing w:after="0"/>
              <w:jc w:val="center"/>
              <w:rPr>
                <w:rFonts w:ascii="宋体" w:hAnsi="宋体" w:eastAsia="宋体" w:cs="宋体"/>
                <w:kern w:val="28"/>
                <w:sz w:val="21"/>
                <w:szCs w:val="21"/>
              </w:rPr>
            </w:pPr>
            <w:r>
              <w:rPr>
                <w:rFonts w:hint="eastAsia" w:ascii="宋体" w:hAnsi="宋体" w:eastAsia="宋体" w:cs="宋体"/>
                <w:kern w:val="28"/>
                <w:sz w:val="21"/>
                <w:szCs w:val="21"/>
              </w:rPr>
              <w:t>25分</w:t>
            </w:r>
          </w:p>
        </w:tc>
        <w:tc>
          <w:tcPr>
            <w:tcW w:w="1195" w:type="pct"/>
            <w:tcBorders>
              <w:top w:val="single" w:color="auto" w:sz="4" w:space="0"/>
              <w:left w:val="single" w:color="auto" w:sz="4" w:space="0"/>
              <w:right w:val="single" w:color="auto" w:sz="4" w:space="0"/>
            </w:tcBorders>
            <w:vAlign w:val="center"/>
          </w:tcPr>
          <w:p>
            <w:pPr>
              <w:widowControl w:val="0"/>
              <w:autoSpaceDE w:val="0"/>
              <w:autoSpaceDN w:val="0"/>
              <w:adjustRightInd/>
              <w:snapToGrid/>
              <w:spacing w:after="0"/>
              <w:jc w:val="center"/>
              <w:rPr>
                <w:rFonts w:ascii="宋体" w:hAnsi="宋体" w:eastAsia="宋体" w:cs="宋体"/>
                <w:kern w:val="28"/>
                <w:sz w:val="21"/>
                <w:szCs w:val="21"/>
              </w:rPr>
            </w:pPr>
            <w:r>
              <w:rPr>
                <w:rFonts w:hint="eastAsia" w:ascii="宋体" w:hAnsi="宋体" w:eastAsia="宋体" w:cs="宋体"/>
                <w:sz w:val="21"/>
                <w:szCs w:val="21"/>
                <w:lang w:val="zh-CN" w:bidi="zh-CN"/>
              </w:rPr>
              <w:t>项目经理业绩</w:t>
            </w:r>
          </w:p>
        </w:tc>
        <w:tc>
          <w:tcPr>
            <w:tcW w:w="398" w:type="pct"/>
            <w:tcBorders>
              <w:top w:val="single" w:color="auto" w:sz="4" w:space="0"/>
              <w:left w:val="single" w:color="auto" w:sz="4" w:space="0"/>
              <w:right w:val="single" w:color="auto" w:sz="4" w:space="0"/>
            </w:tcBorders>
            <w:vAlign w:val="center"/>
          </w:tcPr>
          <w:p>
            <w:pPr>
              <w:widowControl w:val="0"/>
              <w:autoSpaceDE w:val="0"/>
              <w:autoSpaceDN w:val="0"/>
              <w:adjustRightInd/>
              <w:snapToGrid/>
              <w:spacing w:after="0"/>
              <w:jc w:val="center"/>
              <w:rPr>
                <w:rFonts w:ascii="宋体" w:hAnsi="宋体" w:eastAsia="宋体" w:cs="宋体"/>
                <w:sz w:val="21"/>
                <w:szCs w:val="21"/>
                <w:lang w:val="zh-CN" w:bidi="zh-CN"/>
              </w:rPr>
            </w:pPr>
            <w:r>
              <w:rPr>
                <w:rFonts w:hint="eastAsia" w:ascii="宋体" w:hAnsi="宋体" w:eastAsia="宋体" w:cs="宋体"/>
                <w:sz w:val="21"/>
                <w:szCs w:val="21"/>
                <w:lang w:bidi="zh-CN"/>
              </w:rPr>
              <w:t>15</w:t>
            </w:r>
          </w:p>
        </w:tc>
        <w:tc>
          <w:tcPr>
            <w:tcW w:w="1877"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宋体"/>
                <w:kern w:val="28"/>
                <w:sz w:val="21"/>
                <w:szCs w:val="21"/>
              </w:rPr>
            </w:pPr>
            <w:r>
              <w:rPr>
                <w:rFonts w:hint="eastAsia" w:ascii="宋体" w:hAnsi="宋体" w:eastAsia="宋体" w:cs="宋体"/>
                <w:kern w:val="28"/>
                <w:sz w:val="21"/>
                <w:szCs w:val="21"/>
              </w:rPr>
              <w:t>满足资格审查条件要求，</w:t>
            </w:r>
            <w:r>
              <w:rPr>
                <w:rFonts w:ascii="宋体" w:hAnsi="宋体" w:eastAsia="宋体" w:cs="宋体"/>
                <w:kern w:val="28"/>
                <w:sz w:val="21"/>
              </w:rPr>
              <w:t>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Merge w:val="continue"/>
            <w:vAlign w:val="center"/>
          </w:tcPr>
          <w:p>
            <w:pPr>
              <w:widowControl w:val="0"/>
              <w:adjustRightInd/>
              <w:snapToGrid/>
              <w:spacing w:after="0"/>
              <w:jc w:val="center"/>
              <w:rPr>
                <w:rFonts w:ascii="宋体" w:hAnsi="宋体" w:eastAsia="宋体" w:cs="宋体"/>
                <w:kern w:val="28"/>
                <w:sz w:val="21"/>
                <w:szCs w:val="21"/>
              </w:rPr>
            </w:pPr>
          </w:p>
        </w:tc>
        <w:tc>
          <w:tcPr>
            <w:tcW w:w="518" w:type="pct"/>
            <w:vMerge w:val="continue"/>
            <w:vAlign w:val="center"/>
          </w:tcPr>
          <w:p>
            <w:pPr>
              <w:widowControl w:val="0"/>
              <w:adjustRightInd/>
              <w:snapToGrid/>
              <w:spacing w:after="0"/>
              <w:ind w:right="-59" w:rightChars="-27"/>
              <w:jc w:val="center"/>
              <w:rPr>
                <w:rFonts w:ascii="宋体" w:hAnsi="宋体" w:eastAsia="宋体" w:cs="宋体"/>
                <w:kern w:val="28"/>
                <w:sz w:val="21"/>
                <w:szCs w:val="21"/>
              </w:rPr>
            </w:pPr>
          </w:p>
        </w:tc>
        <w:tc>
          <w:tcPr>
            <w:tcW w:w="593" w:type="pct"/>
            <w:vMerge w:val="continue"/>
            <w:tcBorders>
              <w:right w:val="single" w:color="auto" w:sz="4" w:space="0"/>
            </w:tcBorders>
            <w:vAlign w:val="center"/>
          </w:tcPr>
          <w:p>
            <w:pPr>
              <w:widowControl w:val="0"/>
              <w:spacing w:after="0"/>
              <w:jc w:val="center"/>
              <w:rPr>
                <w:rFonts w:ascii="宋体" w:hAnsi="宋体" w:eastAsia="宋体" w:cs="宋体"/>
                <w:kern w:val="28"/>
                <w:sz w:val="21"/>
                <w:szCs w:val="21"/>
              </w:rPr>
            </w:pPr>
          </w:p>
        </w:tc>
        <w:tc>
          <w:tcPr>
            <w:tcW w:w="1195" w:type="pct"/>
            <w:tcBorders>
              <w:left w:val="single" w:color="auto" w:sz="4" w:space="0"/>
              <w:right w:val="single" w:color="auto" w:sz="4" w:space="0"/>
            </w:tcBorders>
            <w:vAlign w:val="center"/>
          </w:tcPr>
          <w:p>
            <w:pPr>
              <w:widowControl w:val="0"/>
              <w:autoSpaceDE w:val="0"/>
              <w:autoSpaceDN w:val="0"/>
              <w:adjustRightInd/>
              <w:snapToGrid/>
              <w:spacing w:after="0"/>
              <w:jc w:val="center"/>
              <w:rPr>
                <w:rFonts w:ascii="宋体" w:hAnsi="宋体" w:eastAsia="宋体" w:cs="宋体"/>
                <w:sz w:val="21"/>
                <w:szCs w:val="21"/>
                <w:lang w:val="zh-CN" w:bidi="zh-CN"/>
              </w:rPr>
            </w:pPr>
            <w:r>
              <w:rPr>
                <w:rFonts w:hint="eastAsia" w:ascii="宋体" w:hAnsi="宋体" w:eastAsia="宋体" w:cs="宋体"/>
                <w:sz w:val="21"/>
                <w:szCs w:val="21"/>
                <w:lang w:val="zh-CN" w:bidi="zh-CN"/>
              </w:rPr>
              <w:t>项目总工业绩</w:t>
            </w:r>
          </w:p>
        </w:tc>
        <w:tc>
          <w:tcPr>
            <w:tcW w:w="398" w:type="pct"/>
            <w:tcBorders>
              <w:top w:val="single" w:color="auto" w:sz="4" w:space="0"/>
              <w:left w:val="single" w:color="auto" w:sz="4" w:space="0"/>
              <w:right w:val="single" w:color="auto" w:sz="4" w:space="0"/>
            </w:tcBorders>
            <w:vAlign w:val="center"/>
          </w:tcPr>
          <w:p>
            <w:pPr>
              <w:widowControl w:val="0"/>
              <w:autoSpaceDE w:val="0"/>
              <w:autoSpaceDN w:val="0"/>
              <w:adjustRightInd/>
              <w:snapToGrid/>
              <w:spacing w:after="0"/>
              <w:jc w:val="center"/>
              <w:rPr>
                <w:rFonts w:ascii="宋体" w:hAnsi="宋体" w:eastAsia="宋体" w:cs="宋体"/>
                <w:sz w:val="21"/>
                <w:szCs w:val="21"/>
                <w:lang w:val="zh-CN" w:bidi="zh-CN"/>
              </w:rPr>
            </w:pPr>
            <w:r>
              <w:rPr>
                <w:rFonts w:hint="eastAsia" w:ascii="宋体" w:hAnsi="宋体" w:eastAsia="宋体" w:cs="宋体"/>
                <w:sz w:val="21"/>
                <w:szCs w:val="21"/>
                <w:lang w:bidi="zh-CN"/>
              </w:rPr>
              <w:t>10</w:t>
            </w:r>
          </w:p>
        </w:tc>
        <w:tc>
          <w:tcPr>
            <w:tcW w:w="1877"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宋体"/>
                <w:kern w:val="28"/>
                <w:sz w:val="21"/>
                <w:szCs w:val="21"/>
              </w:rPr>
            </w:pPr>
            <w:r>
              <w:rPr>
                <w:rFonts w:hint="eastAsia" w:ascii="宋体" w:hAnsi="宋体" w:eastAsia="宋体" w:cs="宋体"/>
                <w:kern w:val="28"/>
                <w:sz w:val="21"/>
                <w:szCs w:val="21"/>
              </w:rPr>
              <w:t>满足资格审查条件要求，得10分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Merge w:val="restart"/>
            <w:vAlign w:val="center"/>
          </w:tcPr>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2.2.2（4）</w:t>
            </w:r>
          </w:p>
        </w:tc>
        <w:tc>
          <w:tcPr>
            <w:tcW w:w="518" w:type="pct"/>
            <w:vAlign w:val="center"/>
          </w:tcPr>
          <w:p>
            <w:pPr>
              <w:widowControl w:val="0"/>
              <w:adjustRightInd/>
              <w:snapToGrid/>
              <w:spacing w:after="0"/>
              <w:ind w:right="-59" w:rightChars="-27"/>
              <w:jc w:val="center"/>
              <w:rPr>
                <w:rFonts w:ascii="宋体" w:hAnsi="宋体" w:eastAsia="宋体" w:cs="宋体"/>
                <w:kern w:val="28"/>
                <w:sz w:val="21"/>
                <w:szCs w:val="21"/>
              </w:rPr>
            </w:pPr>
            <w:r>
              <w:rPr>
                <w:rFonts w:hint="eastAsia" w:ascii="宋体" w:hAnsi="宋体" w:eastAsia="宋体" w:cs="宋体"/>
                <w:kern w:val="28"/>
                <w:sz w:val="21"/>
                <w:szCs w:val="21"/>
              </w:rPr>
              <w:t>履约信誉</w:t>
            </w:r>
          </w:p>
        </w:tc>
        <w:tc>
          <w:tcPr>
            <w:tcW w:w="593" w:type="pct"/>
            <w:tcBorders>
              <w:right w:val="single" w:color="auto" w:sz="4" w:space="0"/>
            </w:tcBorders>
            <w:vAlign w:val="center"/>
          </w:tcPr>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15分</w:t>
            </w:r>
          </w:p>
        </w:tc>
        <w:tc>
          <w:tcPr>
            <w:tcW w:w="1195" w:type="pct"/>
            <w:tcBorders>
              <w:left w:val="single" w:color="auto" w:sz="4" w:space="0"/>
              <w:right w:val="single" w:color="auto" w:sz="4" w:space="0"/>
            </w:tcBorders>
            <w:vAlign w:val="center"/>
          </w:tcPr>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信誉</w:t>
            </w:r>
          </w:p>
        </w:tc>
        <w:tc>
          <w:tcPr>
            <w:tcW w:w="398"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15</w:t>
            </w:r>
          </w:p>
        </w:tc>
        <w:tc>
          <w:tcPr>
            <w:tcW w:w="1877"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Times New Roman"/>
                <w:bCs/>
                <w:kern w:val="28"/>
                <w:sz w:val="21"/>
                <w:szCs w:val="21"/>
              </w:rPr>
            </w:pPr>
            <w:r>
              <w:rPr>
                <w:rFonts w:hint="eastAsia" w:ascii="宋体" w:hAnsi="宋体" w:eastAsia="宋体" w:cs="宋体"/>
                <w:kern w:val="28"/>
                <w:sz w:val="21"/>
                <w:szCs w:val="21"/>
              </w:rPr>
              <w:t>满足资格审查条件要求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6" w:type="pct"/>
            <w:vMerge w:val="continue"/>
            <w:vAlign w:val="center"/>
          </w:tcPr>
          <w:p>
            <w:pPr>
              <w:widowControl w:val="0"/>
              <w:adjustRightInd/>
              <w:snapToGrid/>
              <w:spacing w:after="0"/>
              <w:jc w:val="center"/>
              <w:rPr>
                <w:rFonts w:ascii="宋体" w:hAnsi="宋体" w:eastAsia="宋体" w:cs="宋体"/>
                <w:kern w:val="28"/>
                <w:sz w:val="21"/>
                <w:szCs w:val="21"/>
              </w:rPr>
            </w:pPr>
          </w:p>
        </w:tc>
        <w:tc>
          <w:tcPr>
            <w:tcW w:w="518" w:type="pct"/>
            <w:vMerge w:val="restart"/>
            <w:vAlign w:val="center"/>
          </w:tcPr>
          <w:p>
            <w:pPr>
              <w:widowControl w:val="0"/>
              <w:adjustRightInd/>
              <w:snapToGrid/>
              <w:spacing w:after="0"/>
              <w:ind w:right="-59" w:rightChars="-27"/>
              <w:jc w:val="center"/>
              <w:rPr>
                <w:rFonts w:ascii="宋体" w:hAnsi="宋体" w:eastAsia="宋体" w:cs="宋体"/>
                <w:kern w:val="28"/>
                <w:sz w:val="21"/>
                <w:szCs w:val="21"/>
              </w:rPr>
            </w:pPr>
            <w:r>
              <w:rPr>
                <w:rFonts w:hint="eastAsia" w:ascii="宋体" w:hAnsi="宋体" w:eastAsia="宋体" w:cs="宋体"/>
                <w:kern w:val="28"/>
                <w:sz w:val="21"/>
                <w:szCs w:val="21"/>
              </w:rPr>
              <w:t>企业业绩</w:t>
            </w:r>
          </w:p>
        </w:tc>
        <w:tc>
          <w:tcPr>
            <w:tcW w:w="593" w:type="pct"/>
            <w:vMerge w:val="restart"/>
            <w:tcBorders>
              <w:right w:val="single" w:color="auto" w:sz="4" w:space="0"/>
            </w:tcBorders>
            <w:vAlign w:val="center"/>
          </w:tcPr>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20分</w:t>
            </w:r>
          </w:p>
        </w:tc>
        <w:tc>
          <w:tcPr>
            <w:tcW w:w="1195" w:type="pct"/>
            <w:vMerge w:val="restart"/>
            <w:tcBorders>
              <w:left w:val="single" w:color="auto" w:sz="4" w:space="0"/>
              <w:right w:val="single" w:color="auto" w:sz="4" w:space="0"/>
            </w:tcBorders>
            <w:vAlign w:val="center"/>
          </w:tcPr>
          <w:p>
            <w:pPr>
              <w:widowControl w:val="0"/>
              <w:adjustRightInd/>
              <w:snapToGrid/>
              <w:spacing w:after="0"/>
              <w:jc w:val="center"/>
              <w:rPr>
                <w:rFonts w:ascii="宋体" w:hAnsi="宋体" w:eastAsia="宋体" w:cs="宋体"/>
                <w:kern w:val="28"/>
                <w:sz w:val="21"/>
                <w:szCs w:val="21"/>
              </w:rPr>
            </w:pPr>
            <w:r>
              <w:rPr>
                <w:rFonts w:hint="eastAsia" w:ascii="宋体" w:hAnsi="宋体" w:eastAsia="宋体" w:cs="宋体"/>
                <w:kern w:val="28"/>
                <w:sz w:val="21"/>
                <w:szCs w:val="21"/>
              </w:rPr>
              <w:t>企业业绩</w:t>
            </w:r>
          </w:p>
        </w:tc>
        <w:tc>
          <w:tcPr>
            <w:tcW w:w="398"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snapToGrid/>
              <w:spacing w:after="0"/>
              <w:jc w:val="center"/>
              <w:rPr>
                <w:rFonts w:ascii="宋体" w:hAnsi="宋体" w:eastAsia="宋体" w:cs="宋体"/>
                <w:sz w:val="21"/>
                <w:szCs w:val="21"/>
                <w:lang w:val="zh-CN" w:bidi="zh-CN"/>
              </w:rPr>
            </w:pPr>
            <w:r>
              <w:rPr>
                <w:rFonts w:hint="eastAsia" w:ascii="宋体" w:hAnsi="宋体" w:eastAsia="宋体" w:cs="宋体"/>
                <w:sz w:val="21"/>
                <w:szCs w:val="21"/>
                <w:lang w:val="zh-CN" w:bidi="zh-CN"/>
              </w:rPr>
              <w:t>12</w:t>
            </w:r>
          </w:p>
        </w:tc>
        <w:tc>
          <w:tcPr>
            <w:tcW w:w="1877" w:type="pc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ascii="宋体" w:hAnsi="宋体" w:eastAsia="宋体" w:cs="Times New Roman"/>
                <w:bCs/>
                <w:kern w:val="28"/>
                <w:sz w:val="21"/>
                <w:szCs w:val="21"/>
              </w:rPr>
            </w:pPr>
            <w:r>
              <w:rPr>
                <w:rFonts w:hint="eastAsia" w:ascii="宋体" w:hAnsi="宋体" w:eastAsia="宋体" w:cs="宋体"/>
                <w:kern w:val="28"/>
                <w:sz w:val="21"/>
                <w:szCs w:val="21"/>
              </w:rPr>
              <w:t>满足资格审查条件要求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416" w:type="pct"/>
            <w:vMerge w:val="continue"/>
            <w:vAlign w:val="center"/>
          </w:tcPr>
          <w:p>
            <w:pPr>
              <w:widowControl w:val="0"/>
              <w:adjustRightInd/>
              <w:snapToGrid/>
              <w:spacing w:after="0"/>
              <w:jc w:val="center"/>
              <w:rPr>
                <w:rFonts w:ascii="宋体" w:hAnsi="宋体" w:eastAsia="宋体" w:cs="宋体"/>
                <w:kern w:val="28"/>
                <w:sz w:val="21"/>
                <w:szCs w:val="21"/>
              </w:rPr>
            </w:pPr>
          </w:p>
        </w:tc>
        <w:tc>
          <w:tcPr>
            <w:tcW w:w="518" w:type="pct"/>
            <w:vMerge w:val="continue"/>
            <w:vAlign w:val="center"/>
          </w:tcPr>
          <w:p>
            <w:pPr>
              <w:widowControl w:val="0"/>
              <w:adjustRightInd/>
              <w:snapToGrid/>
              <w:spacing w:after="0"/>
              <w:ind w:right="-59" w:rightChars="-27"/>
              <w:jc w:val="center"/>
              <w:rPr>
                <w:rFonts w:ascii="宋体" w:hAnsi="宋体" w:eastAsia="宋体" w:cs="宋体"/>
                <w:kern w:val="28"/>
                <w:sz w:val="21"/>
                <w:szCs w:val="21"/>
              </w:rPr>
            </w:pPr>
          </w:p>
        </w:tc>
        <w:tc>
          <w:tcPr>
            <w:tcW w:w="593" w:type="pct"/>
            <w:vMerge w:val="continue"/>
            <w:tcBorders>
              <w:right w:val="single" w:color="auto" w:sz="4" w:space="0"/>
            </w:tcBorders>
            <w:vAlign w:val="center"/>
          </w:tcPr>
          <w:p>
            <w:pPr>
              <w:widowControl w:val="0"/>
              <w:adjustRightInd/>
              <w:snapToGrid/>
              <w:spacing w:after="0"/>
              <w:jc w:val="center"/>
              <w:rPr>
                <w:rFonts w:ascii="宋体" w:hAnsi="宋体" w:eastAsia="宋体" w:cs="宋体"/>
                <w:kern w:val="28"/>
                <w:sz w:val="21"/>
                <w:szCs w:val="21"/>
              </w:rPr>
            </w:pPr>
          </w:p>
        </w:tc>
        <w:tc>
          <w:tcPr>
            <w:tcW w:w="1195" w:type="pct"/>
            <w:vMerge w:val="continue"/>
            <w:tcBorders>
              <w:left w:val="single" w:color="auto" w:sz="4" w:space="0"/>
              <w:bottom w:val="single" w:color="auto" w:sz="4" w:space="0"/>
              <w:right w:val="single" w:color="auto" w:sz="4" w:space="0"/>
            </w:tcBorders>
            <w:vAlign w:val="center"/>
          </w:tcPr>
          <w:p>
            <w:pPr>
              <w:widowControl w:val="0"/>
              <w:adjustRightInd/>
              <w:snapToGrid/>
              <w:spacing w:after="0"/>
              <w:jc w:val="center"/>
              <w:rPr>
                <w:rFonts w:ascii="宋体" w:hAnsi="宋体" w:eastAsia="宋体" w:cs="宋体"/>
                <w:kern w:val="28"/>
                <w:sz w:val="21"/>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snapToGrid/>
              <w:spacing w:after="0"/>
              <w:jc w:val="center"/>
              <w:rPr>
                <w:rFonts w:ascii="宋体" w:hAnsi="宋体" w:eastAsia="宋体" w:cs="宋体"/>
                <w:sz w:val="21"/>
                <w:szCs w:val="21"/>
                <w:lang w:val="zh-CN" w:bidi="zh-CN"/>
              </w:rPr>
            </w:pPr>
            <w:r>
              <w:rPr>
                <w:rFonts w:hint="eastAsia" w:ascii="宋体" w:hAnsi="宋体" w:eastAsia="宋体" w:cs="宋体"/>
                <w:sz w:val="21"/>
                <w:szCs w:val="21"/>
                <w:lang w:val="zh-CN" w:bidi="zh-CN"/>
              </w:rPr>
              <w:t>0-8</w:t>
            </w:r>
          </w:p>
        </w:tc>
        <w:tc>
          <w:tcPr>
            <w:tcW w:w="1877" w:type="pct"/>
            <w:tcBorders>
              <w:top w:val="single" w:color="auto" w:sz="4" w:space="0"/>
              <w:left w:val="single" w:color="auto" w:sz="4" w:space="0"/>
              <w:bottom w:val="single" w:color="auto" w:sz="4" w:space="0"/>
              <w:right w:val="single" w:color="auto" w:sz="4" w:space="0"/>
            </w:tcBorders>
            <w:vAlign w:val="center"/>
          </w:tcPr>
          <w:p>
            <w:pPr>
              <w:widowControl w:val="0"/>
              <w:spacing w:after="0"/>
              <w:jc w:val="both"/>
              <w:rPr>
                <w:rFonts w:ascii="宋体" w:hAnsi="宋体" w:eastAsia="宋体" w:cs="宋体"/>
                <w:kern w:val="28"/>
                <w:sz w:val="21"/>
                <w:szCs w:val="21"/>
              </w:rPr>
            </w:pPr>
            <w:r>
              <w:rPr>
                <w:rFonts w:hint="eastAsia" w:ascii="宋体" w:hAnsi="宋体" w:eastAsia="宋体" w:cs="Times New Roman"/>
                <w:bCs/>
                <w:kern w:val="28"/>
                <w:sz w:val="21"/>
                <w:szCs w:val="21"/>
              </w:rPr>
              <w:t>近5年（2019年10月1日至投标截止时间，以交工日期为准）每增加一项合同金额不小于1亿元的新建或改扩建高速公路工程施工</w:t>
            </w:r>
            <w:r>
              <w:rPr>
                <w:rFonts w:ascii="宋体" w:hAnsi="宋体" w:eastAsia="宋体" w:cs="宋体"/>
                <w:kern w:val="28"/>
                <w:sz w:val="21"/>
              </w:rPr>
              <w:t>业绩加8分，最多加8分。</w:t>
            </w:r>
          </w:p>
        </w:tc>
      </w:tr>
    </w:tbl>
    <w:p>
      <w:pPr>
        <w:widowControl w:val="0"/>
        <w:adjustRightInd/>
        <w:spacing w:after="0" w:line="288" w:lineRule="auto"/>
        <w:jc w:val="both"/>
        <w:rPr>
          <w:rFonts w:ascii="宋体" w:hAnsi="宋体" w:eastAsia="宋体" w:cs="宋体"/>
          <w:kern w:val="28"/>
          <w:sz w:val="21"/>
          <w:szCs w:val="21"/>
        </w:rPr>
      </w:pPr>
      <w:r>
        <w:rPr>
          <w:rFonts w:hint="eastAsia" w:ascii="宋体" w:hAnsi="宋体" w:eastAsia="宋体" w:cs="宋体"/>
          <w:kern w:val="28"/>
          <w:sz w:val="21"/>
          <w:szCs w:val="21"/>
        </w:rPr>
        <w:t>注：1、各评分因素得分应以评标委员会各成员各分项打分的平均值确定。评委打分取1位小数，打分平均值保留两位小数，第三位四舍五入。</w:t>
      </w:r>
    </w:p>
    <w:p>
      <w:pPr>
        <w:spacing w:line="220" w:lineRule="atLeast"/>
        <w:rPr>
          <w:rFonts w:ascii="宋体" w:hAnsi="宋体" w:eastAsia="宋体"/>
        </w:rPr>
      </w:pPr>
      <w:r>
        <w:rPr>
          <w:rFonts w:hint="eastAsia" w:ascii="宋体" w:hAnsi="宋体" w:eastAsia="宋体" w:cs="宋体"/>
          <w:kern w:val="28"/>
          <w:sz w:val="21"/>
          <w:szCs w:val="21"/>
        </w:rPr>
        <w:t>2、施工组织设计存在缺项的，则该项计0分。</w:t>
      </w:r>
    </w:p>
    <w:sectPr>
      <w:pgSz w:w="11906" w:h="16838"/>
      <w:pgMar w:top="1361" w:right="1361" w:bottom="1361" w:left="136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OWJkYjJiZWE1ZjgxYjZiNjQyMjE2ZGNmNGI1MjdhZjEifQ=="/>
  </w:docVars>
  <w:rsids>
    <w:rsidRoot w:val="00D31D50"/>
    <w:rsid w:val="000155B2"/>
    <w:rsid w:val="00186DD3"/>
    <w:rsid w:val="00323B43"/>
    <w:rsid w:val="003B29FE"/>
    <w:rsid w:val="003D37D8"/>
    <w:rsid w:val="00426133"/>
    <w:rsid w:val="004358AB"/>
    <w:rsid w:val="007E20D9"/>
    <w:rsid w:val="008B7726"/>
    <w:rsid w:val="008B7CDC"/>
    <w:rsid w:val="00D31D50"/>
    <w:rsid w:val="00F446B4"/>
    <w:rsid w:val="73300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1470</Words>
  <Characters>8380</Characters>
  <Lines>69</Lines>
  <Paragraphs>19</Paragraphs>
  <TotalTime>2</TotalTime>
  <ScaleCrop>false</ScaleCrop>
  <LinksUpToDate>false</LinksUpToDate>
  <CharactersWithSpaces>9831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李</cp:lastModifiedBy>
  <dcterms:modified xsi:type="dcterms:W3CDTF">2024-10-01T03:35:47Z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5F785FA2A1D24B3F9163DD68060A709E_12</vt:lpwstr>
  </property>
</Properties>
</file>