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360" w:lineRule="auto"/>
        <w:rPr>
          <w:b/>
          <w:bCs/>
          <w:color w:val="auto"/>
          <w:sz w:val="28"/>
          <w:szCs w:val="28"/>
          <w:lang w:bidi="ar"/>
        </w:rPr>
      </w:pPr>
      <w:bookmarkStart w:id="52" w:name="_GoBack"/>
      <w:bookmarkEnd w:id="52"/>
      <w:bookmarkStart w:id="0" w:name="_Toc111638754"/>
      <w:bookmarkStart w:id="1" w:name="_Toc513624013"/>
      <w:bookmarkStart w:id="2" w:name="_Toc111638814"/>
      <w:bookmarkStart w:id="3" w:name="_Toc5738"/>
      <w:bookmarkStart w:id="4" w:name="_Toc25178"/>
      <w:bookmarkStart w:id="5" w:name="_Toc172307955"/>
      <w:bookmarkStart w:id="6" w:name="_Toc27368"/>
      <w:bookmarkStart w:id="7" w:name="_Toc134890441"/>
      <w:bookmarkStart w:id="8" w:name="_Hlk512198378"/>
      <w:bookmarkStart w:id="9" w:name="_Hlk531337268"/>
      <w:bookmarkStart w:id="10" w:name="_Hlk63256711"/>
      <w:r>
        <w:rPr>
          <w:rFonts w:hint="eastAsia"/>
          <w:b/>
          <w:bCs/>
          <w:color w:val="auto"/>
          <w:sz w:val="28"/>
          <w:szCs w:val="28"/>
          <w:lang w:bidi="ar"/>
        </w:rPr>
        <w:t>附件1：资格审查</w:t>
      </w:r>
      <w:bookmarkEnd w:id="0"/>
      <w:bookmarkEnd w:id="1"/>
      <w:bookmarkEnd w:id="2"/>
      <w:r>
        <w:rPr>
          <w:rFonts w:hint="eastAsia"/>
          <w:b/>
          <w:bCs/>
          <w:color w:val="auto"/>
          <w:sz w:val="28"/>
          <w:szCs w:val="28"/>
          <w:lang w:bidi="ar"/>
        </w:rPr>
        <w:t>条件</w:t>
      </w:r>
      <w:bookmarkEnd w:id="3"/>
      <w:bookmarkEnd w:id="4"/>
      <w:bookmarkEnd w:id="5"/>
      <w:bookmarkEnd w:id="6"/>
      <w:bookmarkEnd w:id="7"/>
    </w:p>
    <w:bookmarkEnd w:id="8"/>
    <w:p>
      <w:pPr>
        <w:adjustRightInd w:val="0"/>
        <w:spacing w:line="400" w:lineRule="exact"/>
        <w:jc w:val="center"/>
        <w:rPr>
          <w:bCs/>
          <w:color w:val="auto"/>
          <w:kern w:val="28"/>
          <w:sz w:val="24"/>
        </w:rPr>
      </w:pPr>
      <w:r>
        <w:rPr>
          <w:bCs/>
          <w:color w:val="auto"/>
          <w:kern w:val="28"/>
          <w:sz w:val="24"/>
        </w:rPr>
        <w:t>附录1  资格审查条件</w:t>
      </w:r>
      <w:r>
        <w:rPr>
          <w:rFonts w:hint="eastAsia"/>
          <w:bCs/>
          <w:color w:val="auto"/>
          <w:kern w:val="28"/>
          <w:sz w:val="24"/>
        </w:rPr>
        <w:t>（</w:t>
      </w:r>
      <w:r>
        <w:rPr>
          <w:bCs/>
          <w:color w:val="auto"/>
          <w:kern w:val="28"/>
          <w:sz w:val="24"/>
        </w:rPr>
        <w:t>资质最低要求</w:t>
      </w:r>
      <w:r>
        <w:rPr>
          <w:rFonts w:hint="eastAsia"/>
          <w:bCs/>
          <w:color w:val="auto"/>
          <w:kern w:val="28"/>
          <w:sz w:val="24"/>
        </w:rPr>
        <w:t>）</w:t>
      </w:r>
    </w:p>
    <w:tbl>
      <w:tblPr>
        <w:tblStyle w:val="5"/>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3"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jc w:val="center"/>
              <w:textAlignment w:val="baseline"/>
              <w:rPr>
                <w:rStyle w:val="10"/>
                <w:bCs/>
                <w:color w:val="auto"/>
                <w:sz w:val="24"/>
                <w:szCs w:val="24"/>
              </w:rPr>
            </w:pPr>
            <w:r>
              <w:rPr>
                <w:rStyle w:val="10"/>
                <w:bCs/>
                <w:color w:val="auto"/>
                <w:sz w:val="24"/>
                <w:szCs w:val="24"/>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48"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2"/>
              <w:rPr>
                <w:rStyle w:val="10"/>
                <w:color w:val="auto"/>
                <w:sz w:val="24"/>
                <w:szCs w:val="24"/>
              </w:rPr>
            </w:pPr>
            <w:r>
              <w:rPr>
                <w:rStyle w:val="10"/>
                <w:color w:val="auto"/>
                <w:sz w:val="24"/>
                <w:szCs w:val="24"/>
              </w:rPr>
              <w:t>1.具有独立企业法人资格，持有有效的企业法人营业执照；</w:t>
            </w:r>
          </w:p>
          <w:p>
            <w:pPr>
              <w:pStyle w:val="12"/>
              <w:rPr>
                <w:rStyle w:val="10"/>
                <w:color w:val="auto"/>
                <w:sz w:val="24"/>
                <w:szCs w:val="24"/>
              </w:rPr>
            </w:pPr>
            <w:r>
              <w:rPr>
                <w:rStyle w:val="10"/>
                <w:color w:val="auto"/>
                <w:sz w:val="24"/>
                <w:szCs w:val="24"/>
              </w:rPr>
              <w:t>2.具有</w:t>
            </w:r>
            <w:r>
              <w:rPr>
                <w:rStyle w:val="10"/>
                <w:rFonts w:hint="eastAsia"/>
                <w:color w:val="auto"/>
                <w:sz w:val="24"/>
                <w:szCs w:val="24"/>
              </w:rPr>
              <w:t>交通运输部颁发的</w:t>
            </w:r>
            <w:r>
              <w:rPr>
                <w:rStyle w:val="10"/>
                <w:color w:val="auto"/>
                <w:sz w:val="24"/>
                <w:szCs w:val="24"/>
              </w:rPr>
              <w:t>公路工程监理企业甲级资质。</w:t>
            </w:r>
          </w:p>
        </w:tc>
      </w:tr>
    </w:tbl>
    <w:p>
      <w:pPr>
        <w:ind w:firstLine="480" w:firstLineChars="200"/>
        <w:jc w:val="center"/>
        <w:textAlignment w:val="baseline"/>
        <w:rPr>
          <w:bCs/>
          <w:color w:val="auto"/>
          <w:sz w:val="24"/>
        </w:rPr>
      </w:pPr>
    </w:p>
    <w:p>
      <w:pPr>
        <w:adjustRightInd w:val="0"/>
        <w:spacing w:line="400" w:lineRule="exact"/>
        <w:jc w:val="center"/>
        <w:rPr>
          <w:bCs/>
          <w:color w:val="auto"/>
          <w:kern w:val="28"/>
          <w:sz w:val="24"/>
        </w:rPr>
      </w:pPr>
      <w:r>
        <w:rPr>
          <w:bCs/>
          <w:color w:val="auto"/>
          <w:kern w:val="28"/>
          <w:sz w:val="24"/>
        </w:rPr>
        <w:t>附录2  资格审查条件</w:t>
      </w:r>
      <w:r>
        <w:rPr>
          <w:rFonts w:hint="eastAsia"/>
          <w:bCs/>
          <w:color w:val="auto"/>
          <w:kern w:val="28"/>
          <w:sz w:val="24"/>
        </w:rPr>
        <w:t>（</w:t>
      </w:r>
      <w:r>
        <w:rPr>
          <w:bCs/>
          <w:color w:val="auto"/>
          <w:kern w:val="28"/>
          <w:sz w:val="24"/>
        </w:rPr>
        <w:t>业绩最低要求</w:t>
      </w:r>
      <w:r>
        <w:rPr>
          <w:rFonts w:hint="eastAsia"/>
          <w:bCs/>
          <w:color w:val="auto"/>
          <w:kern w:val="28"/>
          <w:sz w:val="24"/>
        </w:rPr>
        <w:t>）</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000" w:type="pct"/>
            <w:vAlign w:val="center"/>
          </w:tcPr>
          <w:p>
            <w:pPr>
              <w:widowControl/>
              <w:ind w:firstLine="480" w:firstLineChars="200"/>
              <w:jc w:val="center"/>
              <w:textAlignment w:val="baseline"/>
              <w:rPr>
                <w:bCs/>
                <w:color w:val="auto"/>
                <w:kern w:val="0"/>
                <w:sz w:val="24"/>
              </w:rPr>
            </w:pPr>
            <w:r>
              <w:rPr>
                <w:bCs/>
                <w:color w:val="auto"/>
                <w:kern w:val="0"/>
                <w:sz w:val="24"/>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000" w:type="pct"/>
          </w:tcPr>
          <w:p>
            <w:pPr>
              <w:pStyle w:val="12"/>
              <w:rPr>
                <w:rStyle w:val="10"/>
                <w:color w:val="auto"/>
                <w:sz w:val="24"/>
                <w:szCs w:val="24"/>
              </w:rPr>
            </w:pPr>
            <w:r>
              <w:rPr>
                <w:rStyle w:val="10"/>
                <w:color w:val="auto"/>
                <w:sz w:val="24"/>
                <w:szCs w:val="24"/>
              </w:rPr>
              <w:t>近5年内（2019年</w:t>
            </w:r>
            <w:r>
              <w:rPr>
                <w:rStyle w:val="10"/>
                <w:rFonts w:hint="eastAsia"/>
                <w:color w:val="auto"/>
                <w:sz w:val="24"/>
                <w:szCs w:val="24"/>
              </w:rPr>
              <w:t>10月1日</w:t>
            </w:r>
            <w:r>
              <w:rPr>
                <w:rStyle w:val="10"/>
                <w:color w:val="auto"/>
                <w:sz w:val="24"/>
                <w:szCs w:val="24"/>
              </w:rPr>
              <w:t>至今</w:t>
            </w:r>
            <w:r>
              <w:rPr>
                <w:rStyle w:val="10"/>
                <w:rFonts w:hint="eastAsia"/>
                <w:color w:val="auto"/>
                <w:sz w:val="24"/>
                <w:szCs w:val="24"/>
              </w:rPr>
              <w:t>，</w:t>
            </w:r>
            <w:r>
              <w:rPr>
                <w:rStyle w:val="10"/>
                <w:color w:val="auto"/>
                <w:sz w:val="24"/>
                <w:szCs w:val="24"/>
              </w:rPr>
              <w:t>以</w:t>
            </w:r>
            <w:r>
              <w:rPr>
                <w:rStyle w:val="10"/>
                <w:rFonts w:hint="eastAsia"/>
                <w:color w:val="auto"/>
                <w:sz w:val="24"/>
                <w:szCs w:val="24"/>
              </w:rPr>
              <w:t>交工</w:t>
            </w:r>
            <w:r>
              <w:rPr>
                <w:rStyle w:val="10"/>
                <w:color w:val="auto"/>
                <w:sz w:val="24"/>
                <w:szCs w:val="24"/>
              </w:rPr>
              <w:t>时间为准）至少独立成功的完成过1</w:t>
            </w:r>
            <w:r>
              <w:rPr>
                <w:rStyle w:val="10"/>
                <w:rFonts w:hint="eastAsia"/>
                <w:color w:val="auto"/>
                <w:sz w:val="24"/>
                <w:szCs w:val="24"/>
              </w:rPr>
              <w:t>项</w:t>
            </w:r>
            <w:r>
              <w:rPr>
                <w:rStyle w:val="10"/>
                <w:color w:val="auto"/>
                <w:sz w:val="24"/>
                <w:szCs w:val="24"/>
              </w:rPr>
              <w:t>合同金额不少于</w:t>
            </w:r>
            <w:r>
              <w:rPr>
                <w:rStyle w:val="10"/>
                <w:rFonts w:hint="eastAsia"/>
                <w:color w:val="auto"/>
                <w:sz w:val="24"/>
                <w:szCs w:val="24"/>
              </w:rPr>
              <w:t>600</w:t>
            </w:r>
            <w:r>
              <w:rPr>
                <w:rStyle w:val="10"/>
                <w:color w:val="auto"/>
                <w:sz w:val="24"/>
                <w:szCs w:val="24"/>
              </w:rPr>
              <w:t>万元（含）新建或改扩建高速公路的工程</w:t>
            </w:r>
            <w:r>
              <w:rPr>
                <w:rStyle w:val="10"/>
                <w:rFonts w:hint="eastAsia"/>
                <w:color w:val="auto"/>
                <w:sz w:val="24"/>
                <w:szCs w:val="24"/>
              </w:rPr>
              <w:t>施工</w:t>
            </w:r>
            <w:r>
              <w:rPr>
                <w:rStyle w:val="10"/>
                <w:color w:val="auto"/>
                <w:sz w:val="24"/>
                <w:szCs w:val="24"/>
              </w:rPr>
              <w:t>监理业绩。</w:t>
            </w:r>
          </w:p>
        </w:tc>
      </w:tr>
    </w:tbl>
    <w:p>
      <w:pPr>
        <w:pStyle w:val="2"/>
        <w:spacing w:after="0"/>
        <w:ind w:firstLine="480" w:firstLineChars="200"/>
        <w:jc w:val="center"/>
        <w:rPr>
          <w:bCs/>
          <w:color w:val="auto"/>
          <w:sz w:val="24"/>
        </w:rPr>
      </w:pPr>
    </w:p>
    <w:p>
      <w:pPr>
        <w:adjustRightInd w:val="0"/>
        <w:spacing w:line="400" w:lineRule="exact"/>
        <w:jc w:val="center"/>
        <w:rPr>
          <w:bCs/>
          <w:color w:val="auto"/>
          <w:kern w:val="28"/>
          <w:sz w:val="24"/>
        </w:rPr>
      </w:pPr>
      <w:r>
        <w:rPr>
          <w:bCs/>
          <w:color w:val="auto"/>
          <w:kern w:val="28"/>
          <w:sz w:val="24"/>
        </w:rPr>
        <w:t>附录3  资格审查条件</w:t>
      </w:r>
      <w:r>
        <w:rPr>
          <w:rFonts w:hint="eastAsia"/>
          <w:bCs/>
          <w:color w:val="auto"/>
          <w:kern w:val="28"/>
          <w:sz w:val="24"/>
        </w:rPr>
        <w:t>（</w:t>
      </w:r>
      <w:r>
        <w:rPr>
          <w:bCs/>
          <w:color w:val="auto"/>
          <w:kern w:val="28"/>
          <w:sz w:val="24"/>
        </w:rPr>
        <w:t>信誉最低要求</w:t>
      </w:r>
      <w:r>
        <w:rPr>
          <w:rFonts w:hint="eastAsia"/>
          <w:bCs/>
          <w:color w:val="auto"/>
          <w:kern w:val="28"/>
          <w:sz w:val="24"/>
        </w:rPr>
        <w:t>）</w:t>
      </w:r>
    </w:p>
    <w:tbl>
      <w:tblPr>
        <w:tblStyle w:val="5"/>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3" w:hRule="atLeast"/>
          <w:jc w:val="center"/>
        </w:trPr>
        <w:tc>
          <w:tcPr>
            <w:tcW w:w="5000" w:type="pct"/>
            <w:tcBorders>
              <w:top w:val="single" w:color="000000" w:sz="2" w:space="0"/>
              <w:left w:val="single" w:color="auto" w:sz="4" w:space="0"/>
              <w:bottom w:val="single" w:color="000000" w:sz="4" w:space="0"/>
              <w:right w:val="single" w:color="000000" w:sz="2" w:space="0"/>
            </w:tcBorders>
            <w:vAlign w:val="center"/>
          </w:tcPr>
          <w:p>
            <w:pPr>
              <w:widowControl/>
              <w:ind w:firstLine="480" w:firstLineChars="200"/>
              <w:jc w:val="center"/>
              <w:textAlignment w:val="baseline"/>
              <w:rPr>
                <w:bCs/>
                <w:color w:val="auto"/>
                <w:kern w:val="0"/>
                <w:sz w:val="24"/>
              </w:rPr>
            </w:pPr>
            <w:r>
              <w:rPr>
                <w:bCs/>
                <w:color w:val="auto"/>
                <w:kern w:val="0"/>
                <w:sz w:val="24"/>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2" w:hRule="atLeast"/>
          <w:jc w:val="center"/>
        </w:trPr>
        <w:tc>
          <w:tcPr>
            <w:tcW w:w="5000" w:type="pct"/>
            <w:tcBorders>
              <w:top w:val="single" w:color="000000" w:sz="2" w:space="0"/>
              <w:left w:val="single" w:color="auto" w:sz="4" w:space="0"/>
              <w:bottom w:val="single" w:color="000000" w:sz="2" w:space="0"/>
              <w:right w:val="single" w:color="000000" w:sz="2" w:space="0"/>
            </w:tcBorders>
            <w:vAlign w:val="center"/>
          </w:tcPr>
          <w:p>
            <w:pPr>
              <w:pStyle w:val="12"/>
              <w:rPr>
                <w:rStyle w:val="10"/>
                <w:color w:val="auto"/>
                <w:sz w:val="24"/>
                <w:szCs w:val="24"/>
              </w:rPr>
            </w:pPr>
            <w:r>
              <w:rPr>
                <w:rStyle w:val="10"/>
                <w:color w:val="auto"/>
                <w:sz w:val="24"/>
                <w:szCs w:val="24"/>
              </w:rPr>
              <w:t>投标人近1年（2023年</w:t>
            </w:r>
            <w:r>
              <w:rPr>
                <w:rStyle w:val="10"/>
                <w:rFonts w:hint="eastAsia"/>
                <w:color w:val="auto"/>
                <w:sz w:val="24"/>
                <w:szCs w:val="24"/>
              </w:rPr>
              <w:t>10月1日</w:t>
            </w:r>
            <w:r>
              <w:rPr>
                <w:rStyle w:val="10"/>
                <w:color w:val="auto"/>
                <w:sz w:val="24"/>
                <w:szCs w:val="24"/>
              </w:rPr>
              <w:t>至今）中不曾在高速公路项目工程施工监理合同中违约而被驱逐或因投标人自身的原因而使高速公路项目</w:t>
            </w:r>
            <w:r>
              <w:rPr>
                <w:rStyle w:val="10"/>
                <w:rFonts w:hint="eastAsia"/>
                <w:color w:val="auto"/>
                <w:sz w:val="24"/>
                <w:szCs w:val="24"/>
              </w:rPr>
              <w:t>工程</w:t>
            </w:r>
            <w:r>
              <w:rPr>
                <w:rStyle w:val="10"/>
                <w:color w:val="auto"/>
                <w:sz w:val="24"/>
                <w:szCs w:val="24"/>
              </w:rPr>
              <w:t>施工监理合同被解除。</w:t>
            </w:r>
          </w:p>
        </w:tc>
      </w:tr>
    </w:tbl>
    <w:p>
      <w:pPr>
        <w:tabs>
          <w:tab w:val="left" w:pos="5157"/>
        </w:tabs>
        <w:ind w:firstLine="480" w:firstLineChars="200"/>
        <w:jc w:val="center"/>
        <w:textAlignment w:val="baseline"/>
        <w:rPr>
          <w:bCs/>
          <w:color w:val="auto"/>
          <w:sz w:val="24"/>
        </w:rPr>
      </w:pPr>
    </w:p>
    <w:p>
      <w:pPr>
        <w:tabs>
          <w:tab w:val="left" w:pos="5157"/>
        </w:tabs>
        <w:ind w:firstLine="480" w:firstLineChars="200"/>
        <w:jc w:val="center"/>
        <w:textAlignment w:val="baseline"/>
        <w:rPr>
          <w:bCs/>
          <w:color w:val="auto"/>
          <w:sz w:val="24"/>
        </w:rPr>
      </w:pPr>
      <w:r>
        <w:rPr>
          <w:bCs/>
          <w:color w:val="auto"/>
          <w:sz w:val="24"/>
        </w:rPr>
        <w:t>附录4  资格审查条件</w:t>
      </w:r>
      <w:r>
        <w:rPr>
          <w:rFonts w:hint="eastAsia"/>
          <w:bCs/>
          <w:color w:val="auto"/>
          <w:sz w:val="24"/>
        </w:rPr>
        <w:t>（</w:t>
      </w:r>
      <w:r>
        <w:rPr>
          <w:rStyle w:val="10"/>
          <w:rFonts w:hint="eastAsia"/>
          <w:color w:val="auto"/>
          <w:sz w:val="24"/>
          <w:szCs w:val="24"/>
        </w:rPr>
        <w:t>监理总负责人</w:t>
      </w:r>
      <w:r>
        <w:rPr>
          <w:bCs/>
          <w:color w:val="auto"/>
          <w:sz w:val="24"/>
        </w:rPr>
        <w:t>的最低要求</w:t>
      </w:r>
      <w:r>
        <w:rPr>
          <w:rFonts w:hint="eastAsia"/>
          <w:bCs/>
          <w:color w:val="auto"/>
          <w:sz w:val="24"/>
        </w:rPr>
        <w:t>）</w:t>
      </w:r>
    </w:p>
    <w:bookmarkEnd w:id="9"/>
    <w:bookmarkEnd w:id="10"/>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280"/>
        <w:gridCol w:w="368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jc w:val="center"/>
        </w:trPr>
        <w:tc>
          <w:tcPr>
            <w:tcW w:w="1046" w:type="pct"/>
            <w:vAlign w:val="center"/>
          </w:tcPr>
          <w:p>
            <w:pPr>
              <w:widowControl/>
              <w:jc w:val="center"/>
              <w:textAlignment w:val="baseline"/>
              <w:rPr>
                <w:bCs/>
                <w:color w:val="auto"/>
                <w:kern w:val="0"/>
                <w:sz w:val="24"/>
              </w:rPr>
            </w:pPr>
            <w:bookmarkStart w:id="11" w:name="_Toc111638815"/>
            <w:bookmarkStart w:id="12" w:name="_Toc111638755"/>
            <w:bookmarkStart w:id="13" w:name="_Toc111638756"/>
            <w:bookmarkStart w:id="14" w:name="_Toc111638816"/>
            <w:r>
              <w:rPr>
                <w:bCs/>
                <w:color w:val="auto"/>
                <w:kern w:val="0"/>
                <w:sz w:val="24"/>
              </w:rPr>
              <w:t>人员</w:t>
            </w:r>
          </w:p>
        </w:tc>
        <w:tc>
          <w:tcPr>
            <w:tcW w:w="751" w:type="pct"/>
            <w:noWrap/>
            <w:vAlign w:val="center"/>
          </w:tcPr>
          <w:p>
            <w:pPr>
              <w:widowControl/>
              <w:jc w:val="center"/>
              <w:textAlignment w:val="baseline"/>
              <w:rPr>
                <w:bCs/>
                <w:color w:val="auto"/>
                <w:kern w:val="0"/>
                <w:sz w:val="24"/>
              </w:rPr>
            </w:pPr>
            <w:r>
              <w:rPr>
                <w:bCs/>
                <w:color w:val="auto"/>
                <w:kern w:val="0"/>
                <w:sz w:val="24"/>
              </w:rPr>
              <w:t>数量</w:t>
            </w:r>
          </w:p>
        </w:tc>
        <w:tc>
          <w:tcPr>
            <w:tcW w:w="2163" w:type="pct"/>
            <w:noWrap/>
            <w:vAlign w:val="center"/>
          </w:tcPr>
          <w:p>
            <w:pPr>
              <w:widowControl/>
              <w:jc w:val="center"/>
              <w:textAlignment w:val="baseline"/>
              <w:rPr>
                <w:bCs/>
                <w:color w:val="auto"/>
                <w:kern w:val="0"/>
                <w:sz w:val="24"/>
              </w:rPr>
            </w:pPr>
            <w:r>
              <w:rPr>
                <w:rStyle w:val="10"/>
                <w:rFonts w:hint="eastAsia"/>
                <w:color w:val="auto"/>
                <w:sz w:val="24"/>
                <w:szCs w:val="24"/>
              </w:rPr>
              <w:t>监理总负责人</w:t>
            </w:r>
            <w:r>
              <w:rPr>
                <w:bCs/>
                <w:color w:val="auto"/>
                <w:kern w:val="0"/>
                <w:sz w:val="24"/>
              </w:rPr>
              <w:t>的最低要求</w:t>
            </w:r>
          </w:p>
        </w:tc>
        <w:tc>
          <w:tcPr>
            <w:tcW w:w="1037" w:type="pct"/>
            <w:noWrap/>
            <w:vAlign w:val="center"/>
          </w:tcPr>
          <w:p>
            <w:pPr>
              <w:widowControl/>
              <w:jc w:val="center"/>
              <w:textAlignment w:val="baseline"/>
              <w:rPr>
                <w:bCs/>
                <w:color w:val="auto"/>
                <w:kern w:val="0"/>
                <w:sz w:val="24"/>
              </w:rPr>
            </w:pPr>
            <w:r>
              <w:rPr>
                <w:bCs/>
                <w:color w:val="auto"/>
                <w:kern w:val="0"/>
                <w:sz w:val="24"/>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46" w:type="pct"/>
            <w:vAlign w:val="center"/>
          </w:tcPr>
          <w:p>
            <w:pPr>
              <w:pStyle w:val="12"/>
              <w:jc w:val="center"/>
              <w:rPr>
                <w:rStyle w:val="10"/>
                <w:color w:val="auto"/>
                <w:sz w:val="24"/>
                <w:szCs w:val="24"/>
              </w:rPr>
            </w:pPr>
            <w:r>
              <w:rPr>
                <w:rStyle w:val="10"/>
                <w:rFonts w:hint="eastAsia"/>
                <w:color w:val="auto"/>
                <w:sz w:val="24"/>
                <w:szCs w:val="24"/>
              </w:rPr>
              <w:t>监理总负责人</w:t>
            </w:r>
          </w:p>
        </w:tc>
        <w:tc>
          <w:tcPr>
            <w:tcW w:w="751" w:type="pct"/>
            <w:vAlign w:val="center"/>
          </w:tcPr>
          <w:p>
            <w:pPr>
              <w:pStyle w:val="12"/>
              <w:jc w:val="center"/>
              <w:rPr>
                <w:rStyle w:val="10"/>
                <w:color w:val="auto"/>
                <w:sz w:val="24"/>
                <w:szCs w:val="24"/>
              </w:rPr>
            </w:pPr>
            <w:r>
              <w:rPr>
                <w:rStyle w:val="10"/>
                <w:rFonts w:hint="eastAsia"/>
                <w:color w:val="auto"/>
                <w:sz w:val="24"/>
                <w:szCs w:val="24"/>
              </w:rPr>
              <w:t>1</w:t>
            </w:r>
          </w:p>
        </w:tc>
        <w:tc>
          <w:tcPr>
            <w:tcW w:w="2163" w:type="pct"/>
            <w:vAlign w:val="center"/>
          </w:tcPr>
          <w:p>
            <w:pPr>
              <w:pStyle w:val="12"/>
              <w:rPr>
                <w:rStyle w:val="10"/>
                <w:color w:val="auto"/>
                <w:sz w:val="24"/>
                <w:szCs w:val="24"/>
              </w:rPr>
            </w:pPr>
            <w:r>
              <w:rPr>
                <w:rStyle w:val="10"/>
                <w:rFonts w:hint="eastAsia"/>
                <w:color w:val="auto"/>
                <w:sz w:val="24"/>
                <w:szCs w:val="24"/>
              </w:rPr>
              <w:t>高级工程师及以上职称，具有监理工程师职业资格证书（交通运输工程）或交通运输部颁发的监理工程师资格证书</w:t>
            </w:r>
            <w:r>
              <w:rPr>
                <w:rStyle w:val="10"/>
                <w:color w:val="auto"/>
                <w:sz w:val="24"/>
                <w:szCs w:val="24"/>
              </w:rPr>
              <w:t>且在投标单位进行登记；</w:t>
            </w:r>
          </w:p>
          <w:p>
            <w:pPr>
              <w:pStyle w:val="12"/>
              <w:rPr>
                <w:rStyle w:val="10"/>
                <w:color w:val="auto"/>
                <w:sz w:val="24"/>
                <w:szCs w:val="24"/>
              </w:rPr>
            </w:pPr>
            <w:r>
              <w:rPr>
                <w:rStyle w:val="10"/>
                <w:color w:val="auto"/>
                <w:sz w:val="24"/>
                <w:szCs w:val="24"/>
              </w:rPr>
              <w:t>近5年内（2019年</w:t>
            </w:r>
            <w:r>
              <w:rPr>
                <w:rStyle w:val="10"/>
                <w:rFonts w:hint="eastAsia"/>
                <w:color w:val="auto"/>
                <w:sz w:val="24"/>
                <w:szCs w:val="24"/>
              </w:rPr>
              <w:t>10月1日</w:t>
            </w:r>
            <w:r>
              <w:rPr>
                <w:rStyle w:val="10"/>
                <w:color w:val="auto"/>
                <w:sz w:val="24"/>
                <w:szCs w:val="24"/>
              </w:rPr>
              <w:t>至今，以</w:t>
            </w:r>
            <w:r>
              <w:rPr>
                <w:rStyle w:val="10"/>
                <w:rFonts w:hint="eastAsia"/>
                <w:color w:val="auto"/>
                <w:sz w:val="24"/>
                <w:szCs w:val="24"/>
              </w:rPr>
              <w:t>交工</w:t>
            </w:r>
            <w:r>
              <w:rPr>
                <w:rStyle w:val="10"/>
                <w:color w:val="auto"/>
                <w:sz w:val="24"/>
                <w:szCs w:val="24"/>
              </w:rPr>
              <w:t>时间为准）至少担任过1项新建或改扩建高速公路工程</w:t>
            </w:r>
            <w:r>
              <w:rPr>
                <w:rStyle w:val="10"/>
                <w:rFonts w:hint="eastAsia"/>
                <w:color w:val="auto"/>
                <w:sz w:val="24"/>
                <w:szCs w:val="24"/>
              </w:rPr>
              <w:t>施工</w:t>
            </w:r>
            <w:r>
              <w:rPr>
                <w:rStyle w:val="10"/>
                <w:color w:val="auto"/>
                <w:sz w:val="24"/>
                <w:szCs w:val="24"/>
              </w:rPr>
              <w:t>监理工作的总监理工程师或副总监理工程师或驻地监理工程师。</w:t>
            </w:r>
          </w:p>
        </w:tc>
        <w:tc>
          <w:tcPr>
            <w:tcW w:w="1037" w:type="pct"/>
            <w:vMerge w:val="restart"/>
            <w:vAlign w:val="center"/>
          </w:tcPr>
          <w:p>
            <w:pPr>
              <w:pStyle w:val="12"/>
              <w:rPr>
                <w:rStyle w:val="10"/>
                <w:color w:val="auto"/>
                <w:sz w:val="24"/>
                <w:szCs w:val="24"/>
              </w:rPr>
            </w:pPr>
            <w:r>
              <w:rPr>
                <w:rStyle w:val="10"/>
                <w:color w:val="auto"/>
                <w:sz w:val="24"/>
                <w:szCs w:val="24"/>
              </w:rPr>
              <w:t>目前未在其他项目上任职，或虽在其他项目上任职但本项目中标后能够从其他项目撤离，并能在本项目履约。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46" w:type="pct"/>
            <w:vAlign w:val="center"/>
          </w:tcPr>
          <w:p>
            <w:pPr>
              <w:pStyle w:val="12"/>
              <w:jc w:val="center"/>
              <w:rPr>
                <w:rStyle w:val="10"/>
                <w:color w:val="auto"/>
                <w:sz w:val="24"/>
                <w:szCs w:val="24"/>
              </w:rPr>
            </w:pPr>
            <w:r>
              <w:rPr>
                <w:rStyle w:val="10"/>
                <w:color w:val="auto"/>
                <w:sz w:val="24"/>
                <w:szCs w:val="24"/>
              </w:rPr>
              <w:t>总监理工程师</w:t>
            </w:r>
          </w:p>
        </w:tc>
        <w:tc>
          <w:tcPr>
            <w:tcW w:w="751" w:type="pct"/>
            <w:vAlign w:val="center"/>
          </w:tcPr>
          <w:p>
            <w:pPr>
              <w:pStyle w:val="12"/>
              <w:jc w:val="center"/>
              <w:rPr>
                <w:rStyle w:val="10"/>
                <w:color w:val="auto"/>
                <w:sz w:val="24"/>
                <w:szCs w:val="24"/>
              </w:rPr>
            </w:pPr>
            <w:r>
              <w:rPr>
                <w:rStyle w:val="10"/>
                <w:rFonts w:hint="eastAsia"/>
                <w:color w:val="auto"/>
                <w:sz w:val="24"/>
                <w:szCs w:val="24"/>
              </w:rPr>
              <w:t>3</w:t>
            </w:r>
          </w:p>
        </w:tc>
        <w:tc>
          <w:tcPr>
            <w:tcW w:w="2163" w:type="pct"/>
            <w:vAlign w:val="center"/>
          </w:tcPr>
          <w:p>
            <w:pPr>
              <w:pStyle w:val="12"/>
              <w:rPr>
                <w:rStyle w:val="10"/>
                <w:strike/>
                <w:color w:val="auto"/>
                <w:sz w:val="24"/>
                <w:szCs w:val="24"/>
              </w:rPr>
            </w:pPr>
            <w:r>
              <w:rPr>
                <w:rStyle w:val="10"/>
                <w:rFonts w:hint="eastAsia"/>
                <w:color w:val="auto"/>
                <w:sz w:val="24"/>
                <w:szCs w:val="24"/>
              </w:rPr>
              <w:t>工程师及以上职称，具有监理工程师职业资格证书（交通运输工程）或交通运输部颁发的监理工程师资格证书</w:t>
            </w:r>
            <w:r>
              <w:rPr>
                <w:rStyle w:val="10"/>
                <w:color w:val="auto"/>
                <w:sz w:val="24"/>
                <w:szCs w:val="24"/>
              </w:rPr>
              <w:t>且在投标单位进行登记；</w:t>
            </w:r>
          </w:p>
        </w:tc>
        <w:tc>
          <w:tcPr>
            <w:tcW w:w="1037" w:type="pct"/>
            <w:vMerge w:val="continue"/>
            <w:vAlign w:val="center"/>
          </w:tcPr>
          <w:p>
            <w:pPr>
              <w:pStyle w:val="12"/>
              <w:rPr>
                <w:rStyle w:val="10"/>
                <w:color w:val="auto"/>
                <w:sz w:val="24"/>
                <w:szCs w:val="24"/>
              </w:rPr>
            </w:pPr>
          </w:p>
        </w:tc>
      </w:tr>
      <w:bookmarkEnd w:id="11"/>
      <w:bookmarkEnd w:id="12"/>
    </w:tbl>
    <w:p>
      <w:pPr>
        <w:pStyle w:val="2"/>
        <w:rPr>
          <w:rFonts w:hint="eastAsia" w:ascii="宋体" w:hAnsi="宋体" w:cs="宋体"/>
          <w:bCs/>
          <w:color w:val="auto"/>
          <w:sz w:val="24"/>
        </w:rPr>
      </w:pPr>
      <w:r>
        <w:rPr>
          <w:rFonts w:hint="eastAsia" w:ascii="宋体" w:hAnsi="宋体" w:cs="宋体"/>
          <w:bCs/>
          <w:color w:val="auto"/>
          <w:sz w:val="24"/>
        </w:rPr>
        <w:br w:type="page"/>
      </w:r>
    </w:p>
    <w:p>
      <w:pPr>
        <w:tabs>
          <w:tab w:val="left" w:pos="0"/>
        </w:tabs>
        <w:spacing w:line="360" w:lineRule="auto"/>
        <w:rPr>
          <w:b/>
          <w:bCs/>
          <w:color w:val="auto"/>
          <w:sz w:val="28"/>
          <w:szCs w:val="28"/>
          <w:lang w:bidi="ar"/>
        </w:rPr>
      </w:pPr>
      <w:bookmarkStart w:id="15" w:name="_Toc32256"/>
      <w:bookmarkStart w:id="16" w:name="_Toc172307956"/>
      <w:bookmarkStart w:id="17" w:name="_Toc6205"/>
      <w:bookmarkStart w:id="18" w:name="_Toc134890443"/>
      <w:bookmarkStart w:id="19" w:name="_Toc134792891"/>
      <w:bookmarkStart w:id="20" w:name="_Toc134792340"/>
      <w:bookmarkStart w:id="21" w:name="_Toc21002"/>
      <w:r>
        <w:rPr>
          <w:rFonts w:hint="eastAsia"/>
          <w:b/>
          <w:bCs/>
          <w:color w:val="auto"/>
          <w:sz w:val="28"/>
          <w:szCs w:val="28"/>
          <w:lang w:bidi="ar"/>
        </w:rPr>
        <w:t>附件2：随机确定评标基准价计算方法的规则与程序</w:t>
      </w:r>
      <w:bookmarkEnd w:id="15"/>
      <w:bookmarkEnd w:id="16"/>
      <w:bookmarkEnd w:id="17"/>
    </w:p>
    <w:p>
      <w:pPr>
        <w:adjustRightInd w:val="0"/>
        <w:snapToGrid w:val="0"/>
        <w:spacing w:line="360" w:lineRule="auto"/>
        <w:jc w:val="left"/>
        <w:rPr>
          <w:rFonts w:hint="eastAsia" w:ascii="宋体" w:hAnsi="宋体"/>
          <w:b/>
          <w:color w:val="auto"/>
          <w:sz w:val="24"/>
        </w:rPr>
      </w:pPr>
      <w:r>
        <w:rPr>
          <w:rFonts w:hint="eastAsia" w:ascii="宋体" w:hAnsi="宋体"/>
          <w:b/>
          <w:color w:val="auto"/>
          <w:sz w:val="24"/>
        </w:rPr>
        <w:t>一、随机抽取规则</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参与随机确定评标基准价计算方法的各方当事人（以下简称“各方”）应当严格遵守以下规则：</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（一）各方必须严格遵守公开、公平、公正和诚实信用原则；</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（二）确定随机确定评标基准价计算方法的活动在招标人的主持下进行，招标人做好影像记录，并存档备查；</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（三）用于随机抽取的器具由招标人提供；</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（四）各方必须严格遵守现场纪律，确保随机抽取活动有序进行；</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五）投标人对随机抽取结果有异议的，应当于产生随机抽取结果后的10分钟内在线提出异议，在规定时间之内未提出异议的，视为默认随机抽取结果。对于投标人提出的异议，招标人当场作出答复，并作好记录。</w:t>
      </w:r>
    </w:p>
    <w:p>
      <w:pPr>
        <w:adjustRightInd w:val="0"/>
        <w:spacing w:line="360" w:lineRule="auto"/>
        <w:jc w:val="left"/>
        <w:outlineLvl w:val="2"/>
        <w:rPr>
          <w:rFonts w:hint="eastAsia" w:ascii="宋体" w:hAnsi="宋体"/>
          <w:b/>
          <w:color w:val="auto"/>
          <w:sz w:val="24"/>
        </w:rPr>
      </w:pPr>
      <w:bookmarkStart w:id="22" w:name="_Toc178513970"/>
      <w:r>
        <w:rPr>
          <w:rFonts w:hint="eastAsia" w:ascii="宋体" w:hAnsi="宋体"/>
          <w:b/>
          <w:color w:val="auto"/>
          <w:sz w:val="24"/>
        </w:rPr>
        <w:t>二、随机抽取确定评标基准价计算方法的程序</w:t>
      </w:r>
      <w:bookmarkEnd w:id="22"/>
    </w:p>
    <w:p>
      <w:pPr>
        <w:adjustRightIn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（一）确定随机抽取代码球</w:t>
      </w:r>
    </w:p>
    <w:p>
      <w:pPr>
        <w:adjustRightIn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用抽取器具随机确定抽取代码球一套，作为本次随机抽取确定评标基准价计算方法的代码球。</w:t>
      </w:r>
    </w:p>
    <w:p>
      <w:pPr>
        <w:adjustRightIn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（二）本次招标共设置三种评标基准价计算方法（详见评标办法）。</w:t>
      </w:r>
    </w:p>
    <w:p>
      <w:pPr>
        <w:adjustRightIn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确定评标基准价计算方法的编号及代码球，1号球代表评标基准价计算方法1；2号球代表评标基准价计算方法2；3号球代表评标基准价计算方法3。</w:t>
      </w:r>
    </w:p>
    <w:p>
      <w:pPr>
        <w:adjustRightIn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（三）在投标文件第一信封（商务及技术文件）开标现场，将编号1、2、3代码球全部放入随机抽取器具中，由抽取器具随机抽取产生本次招标评标基准价计算方法。</w:t>
      </w:r>
    </w:p>
    <w:p>
      <w:pPr>
        <w:adjustRightInd w:val="0"/>
        <w:spacing w:line="360" w:lineRule="auto"/>
        <w:ind w:firstLine="480" w:firstLineChars="200"/>
        <w:jc w:val="left"/>
        <w:rPr>
          <w:rFonts w:hint="eastAsia" w:ascii="宋体" w:hAnsi="宋体"/>
          <w:color w:val="auto"/>
          <w:sz w:val="24"/>
        </w:rPr>
      </w:pPr>
      <w:r>
        <w:rPr>
          <w:rFonts w:hint="eastAsia" w:ascii="宋体" w:hAnsi="宋体"/>
          <w:bCs/>
          <w:color w:val="auto"/>
          <w:sz w:val="24"/>
        </w:rPr>
        <w:t>（四）确定评标基准价计算方法需要的系数（如有）</w:t>
      </w:r>
    </w:p>
    <w:p>
      <w:pPr>
        <w:snapToGrid w:val="0"/>
        <w:spacing w:line="360" w:lineRule="auto"/>
        <w:ind w:firstLine="480"/>
        <w:textAlignment w:val="baseline"/>
        <w:rPr>
          <w:rFonts w:hint="eastAsia" w:ascii="宋体" w:hAnsi="宋体"/>
          <w:color w:val="auto"/>
          <w:sz w:val="24"/>
        </w:rPr>
      </w:pPr>
      <w:r>
        <w:rPr>
          <w:rFonts w:ascii="宋体" w:hAnsi="宋体"/>
          <w:color w:val="auto"/>
          <w:sz w:val="24"/>
        </w:rPr>
        <w:t>用抽取器具随机抽取评标基准价计算所需的参数K1、K2。</w:t>
      </w:r>
    </w:p>
    <w:p>
      <w:pPr>
        <w:snapToGrid w:val="0"/>
        <w:spacing w:line="360" w:lineRule="auto"/>
        <w:ind w:firstLine="480"/>
        <w:textAlignment w:val="baseline"/>
        <w:rPr>
          <w:rFonts w:hint="eastAsia" w:ascii="宋体" w:hAnsi="宋体"/>
          <w:color w:val="auto"/>
          <w:sz w:val="24"/>
        </w:rPr>
      </w:pPr>
      <w:r>
        <w:rPr>
          <w:rFonts w:ascii="宋体" w:hAnsi="宋体"/>
          <w:color w:val="auto"/>
          <w:sz w:val="24"/>
        </w:rPr>
        <w:t>1、如果抽取的评标基准价计算方法为方法1，则需要抽取评标基准价系数K1。</w:t>
      </w:r>
    </w:p>
    <w:p>
      <w:pPr>
        <w:snapToGrid w:val="0"/>
        <w:spacing w:line="360" w:lineRule="auto"/>
        <w:ind w:firstLine="480"/>
        <w:textAlignment w:val="baseline"/>
        <w:rPr>
          <w:rFonts w:hint="eastAsia" w:ascii="宋体" w:hAnsi="宋体"/>
          <w:color w:val="auto"/>
          <w:sz w:val="24"/>
        </w:rPr>
      </w:pPr>
      <w:r>
        <w:rPr>
          <w:rFonts w:ascii="宋体" w:hAnsi="宋体"/>
          <w:color w:val="auto"/>
          <w:sz w:val="24"/>
        </w:rPr>
        <w:t>K1取值范围为0.980、0.985、0.990、0.995、1.000。将编号为1～5的代码球放入抽取器具，由抽取器具随机抽取1个代码球，1号球代表K1值为0.980；2号球代表K1值为0.985；3号球代表K1值为0.990；4号球代表K1值为0.995；5号球代表K1值为1.000。</w:t>
      </w:r>
    </w:p>
    <w:p>
      <w:pPr>
        <w:snapToGrid w:val="0"/>
        <w:spacing w:line="360" w:lineRule="auto"/>
        <w:ind w:firstLine="480"/>
        <w:textAlignment w:val="baseline"/>
        <w:rPr>
          <w:rFonts w:hint="eastAsia" w:ascii="宋体" w:hAnsi="宋体"/>
          <w:color w:val="auto"/>
          <w:sz w:val="24"/>
        </w:rPr>
      </w:pPr>
      <w:r>
        <w:rPr>
          <w:rFonts w:ascii="宋体" w:hAnsi="宋体"/>
          <w:color w:val="auto"/>
          <w:sz w:val="24"/>
        </w:rPr>
        <w:t>2、如果抽取的评标基准价计算方法为方法2，则需要抽取评标基准价系数K2。</w:t>
      </w:r>
    </w:p>
    <w:p>
      <w:pPr>
        <w:snapToGrid w:val="0"/>
        <w:spacing w:line="360" w:lineRule="auto"/>
        <w:ind w:firstLine="480"/>
        <w:textAlignment w:val="baseline"/>
        <w:rPr>
          <w:rFonts w:hint="eastAsia" w:ascii="宋体" w:hAnsi="宋体"/>
          <w:color w:val="auto"/>
          <w:sz w:val="24"/>
        </w:rPr>
      </w:pPr>
      <w:r>
        <w:rPr>
          <w:rFonts w:ascii="宋体" w:hAnsi="宋体"/>
          <w:color w:val="auto"/>
          <w:sz w:val="24"/>
        </w:rPr>
        <w:t>K2取值范围为0.10、0.15、0.20、0.25、0.30。将编号为1～5的代码球放入抽取器具，由抽取器具随机抽取1个代码球，1号球代表K2值为0.10；2号球代表K2值为0.15；3号球代表K2值为0.20；4号球代表K2值为0.25；5号球代表K2值为0.30。</w:t>
      </w:r>
    </w:p>
    <w:p>
      <w:pPr>
        <w:snapToGrid w:val="0"/>
        <w:spacing w:line="360" w:lineRule="auto"/>
        <w:ind w:firstLine="480"/>
        <w:textAlignment w:val="baseline"/>
        <w:rPr>
          <w:rFonts w:hint="eastAsia" w:ascii="宋体" w:hAnsi="宋体"/>
          <w:color w:val="auto"/>
          <w:sz w:val="24"/>
        </w:rPr>
      </w:pPr>
      <w:r>
        <w:rPr>
          <w:rFonts w:ascii="宋体" w:hAnsi="宋体"/>
          <w:color w:val="auto"/>
          <w:sz w:val="24"/>
        </w:rPr>
        <w:t>3、如果抽取的评标基准价计算方法为方法3，则不需要抽取系数。</w:t>
      </w:r>
    </w:p>
    <w:p>
      <w:pPr>
        <w:adjustRightIn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五）如果遇到抽取器具发生故障，导致随机确定评标基准价计算方法过程中断时，招标人应及时宣布发生故障之前的随机确定评标基准价计算方法结果有效。宣布前任何人不得随意处理抽取器具，并请招标人、监督人员对故障发生情况进行书面确认。故障排除或更换抽取器具后，招标人应宣布继续后续的抽取程序。</w:t>
      </w:r>
    </w:p>
    <w:p>
      <w:pPr>
        <w:adjustRightInd w:val="0"/>
        <w:spacing w:line="360" w:lineRule="auto"/>
        <w:jc w:val="left"/>
        <w:outlineLvl w:val="2"/>
        <w:rPr>
          <w:rFonts w:hint="eastAsia" w:ascii="宋体" w:hAnsi="宋体"/>
          <w:b/>
          <w:color w:val="auto"/>
          <w:sz w:val="24"/>
        </w:rPr>
      </w:pPr>
      <w:bookmarkStart w:id="23" w:name="_Toc178513971"/>
      <w:bookmarkStart w:id="24" w:name="_Toc18909"/>
      <w:r>
        <w:rPr>
          <w:rFonts w:hint="eastAsia" w:ascii="宋体" w:hAnsi="宋体"/>
          <w:b/>
          <w:color w:val="auto"/>
          <w:sz w:val="24"/>
        </w:rPr>
        <w:t>三、随机抽取结果的确认</w:t>
      </w:r>
      <w:bookmarkEnd w:id="23"/>
      <w:bookmarkEnd w:id="24"/>
    </w:p>
    <w:p>
      <w:pPr>
        <w:adjustRightIn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随机抽取结束后，招标人当场宣布随机抽取结果，抽取结果由招标人代表签字确认。投标人代表在开标记录表上用CA数字证书进行确认，若投标人未及时在开标记录表上确认，视为该投标人默认抽取结果。</w:t>
      </w:r>
    </w:p>
    <w:p>
      <w:pPr>
        <w:widowControl/>
        <w:jc w:val="left"/>
        <w:rPr>
          <w:rFonts w:hint="eastAsia" w:ascii="宋体" w:hAnsi="宋体" w:cs="宋体"/>
          <w:b/>
          <w:bCs/>
          <w:color w:val="auto"/>
          <w:sz w:val="28"/>
          <w:szCs w:val="28"/>
        </w:rPr>
      </w:pPr>
      <w:r>
        <w:rPr>
          <w:rFonts w:hint="eastAsia" w:ascii="宋体" w:hAnsi="宋体" w:cs="宋体"/>
          <w:color w:val="auto"/>
          <w:sz w:val="28"/>
          <w:szCs w:val="28"/>
        </w:rPr>
        <w:br w:type="page"/>
      </w:r>
    </w:p>
    <w:p>
      <w:pPr>
        <w:tabs>
          <w:tab w:val="left" w:pos="0"/>
        </w:tabs>
        <w:spacing w:line="360" w:lineRule="auto"/>
        <w:rPr>
          <w:b/>
          <w:bCs/>
          <w:color w:val="auto"/>
          <w:sz w:val="28"/>
          <w:szCs w:val="28"/>
          <w:lang w:bidi="ar"/>
        </w:rPr>
      </w:pPr>
      <w:bookmarkStart w:id="25" w:name="_Toc3293"/>
      <w:bookmarkStart w:id="26" w:name="_Toc28516"/>
      <w:bookmarkStart w:id="27" w:name="_Toc24497"/>
      <w:bookmarkStart w:id="28" w:name="_Toc12837"/>
      <w:bookmarkStart w:id="29" w:name="_Toc172307957"/>
      <w:bookmarkStart w:id="30" w:name="_Toc10913"/>
      <w:r>
        <w:rPr>
          <w:rFonts w:hint="eastAsia"/>
          <w:b/>
          <w:bCs/>
          <w:color w:val="auto"/>
          <w:sz w:val="28"/>
          <w:szCs w:val="28"/>
          <w:lang w:bidi="ar"/>
        </w:rPr>
        <w:t>附件3：</w:t>
      </w:r>
      <w:bookmarkEnd w:id="18"/>
      <w:bookmarkEnd w:id="19"/>
      <w:bookmarkEnd w:id="20"/>
      <w:bookmarkEnd w:id="21"/>
      <w:bookmarkEnd w:id="25"/>
      <w:bookmarkEnd w:id="26"/>
      <w:bookmarkEnd w:id="27"/>
      <w:bookmarkEnd w:id="28"/>
      <w:bookmarkEnd w:id="29"/>
      <w:bookmarkEnd w:id="30"/>
      <w:r>
        <w:rPr>
          <w:rFonts w:hint="eastAsia"/>
          <w:b/>
          <w:bCs/>
          <w:color w:val="auto"/>
          <w:sz w:val="28"/>
          <w:szCs w:val="28"/>
          <w:lang w:bidi="ar"/>
        </w:rPr>
        <w:t>评标办法</w:t>
      </w:r>
    </w:p>
    <w:p>
      <w:pPr>
        <w:snapToGrid w:val="0"/>
        <w:spacing w:line="276" w:lineRule="auto"/>
        <w:ind w:firstLine="480"/>
        <w:jc w:val="center"/>
        <w:textAlignment w:val="baseline"/>
        <w:rPr>
          <w:b/>
          <w:bCs/>
          <w:color w:val="auto"/>
          <w:sz w:val="24"/>
        </w:rPr>
      </w:pPr>
      <w:bookmarkStart w:id="31" w:name="_Toc450319202"/>
      <w:bookmarkStart w:id="32" w:name="_Toc134890522"/>
      <w:bookmarkStart w:id="33" w:name="_Toc459307890"/>
      <w:bookmarkStart w:id="34" w:name="_Toc509659998"/>
      <w:bookmarkStart w:id="35" w:name="_Toc134792341"/>
      <w:bookmarkStart w:id="36" w:name="_Toc509660966"/>
      <w:bookmarkStart w:id="37" w:name="_Toc531949857"/>
      <w:bookmarkStart w:id="38" w:name="_Toc134792409"/>
      <w:bookmarkStart w:id="39" w:name="_Toc502992691"/>
      <w:bookmarkStart w:id="40" w:name="_Toc134890444"/>
      <w:bookmarkStart w:id="41" w:name="_Toc134792892"/>
      <w:bookmarkStart w:id="42" w:name="_Toc445222503"/>
      <w:bookmarkStart w:id="43" w:name="_Toc445382083"/>
      <w:bookmarkStart w:id="44" w:name="_Toc444271617"/>
      <w:bookmarkStart w:id="45" w:name="_Toc444088432"/>
      <w:r>
        <w:rPr>
          <w:b/>
          <w:bCs/>
          <w:color w:val="auto"/>
          <w:sz w:val="24"/>
        </w:rPr>
        <w:t>评标办法（综合评估法）</w:t>
      </w:r>
      <w:bookmarkEnd w:id="31"/>
      <w:bookmarkEnd w:id="32"/>
      <w:bookmarkEnd w:id="33"/>
      <w:bookmarkEnd w:id="34"/>
      <w:bookmarkEnd w:id="35"/>
      <w:bookmarkEnd w:id="36"/>
      <w:bookmarkEnd w:id="37"/>
      <w:bookmarkEnd w:id="38"/>
      <w:bookmarkEnd w:id="39"/>
      <w:bookmarkEnd w:id="40"/>
      <w:bookmarkEnd w:id="41"/>
    </w:p>
    <w:p>
      <w:pPr>
        <w:snapToGrid w:val="0"/>
        <w:spacing w:line="276" w:lineRule="auto"/>
        <w:jc w:val="center"/>
        <w:textAlignment w:val="baseline"/>
        <w:rPr>
          <w:b/>
          <w:bCs/>
          <w:color w:val="auto"/>
          <w:sz w:val="24"/>
        </w:rPr>
      </w:pPr>
      <w:r>
        <w:rPr>
          <w:b/>
          <w:bCs/>
          <w:color w:val="auto"/>
          <w:sz w:val="24"/>
        </w:rPr>
        <w:t>评标办法前附表</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152"/>
        <w:gridCol w:w="7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bookmarkStart w:id="46" w:name="_Toc134792410"/>
            <w:bookmarkStart w:id="47" w:name="_Toc134792342"/>
            <w:bookmarkStart w:id="48" w:name="_Toc134890445"/>
            <w:bookmarkStart w:id="49" w:name="_Toc134792893"/>
            <w:bookmarkStart w:id="50" w:name="_Toc531949858"/>
            <w:bookmarkStart w:id="51" w:name="_Toc134890523"/>
            <w:r>
              <w:rPr>
                <w:color w:val="auto"/>
                <w:szCs w:val="21"/>
              </w:rPr>
              <w:t>条款号</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条款名称</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ind w:firstLine="420" w:firstLineChars="200"/>
              <w:jc w:val="center"/>
              <w:textAlignment w:val="baseline"/>
              <w:rPr>
                <w:color w:val="auto"/>
                <w:szCs w:val="21"/>
              </w:rPr>
            </w:pPr>
            <w:r>
              <w:rPr>
                <w:color w:val="auto"/>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ind w:firstLine="420" w:firstLineChars="200"/>
              <w:textAlignment w:val="baseline"/>
              <w:rPr>
                <w:color w:val="auto"/>
                <w:szCs w:val="21"/>
              </w:rPr>
            </w:pPr>
            <w:r>
              <w:rPr>
                <w:color w:val="auto"/>
                <w:szCs w:val="21"/>
              </w:rPr>
              <w:t>1</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评标办法</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left"/>
              <w:rPr>
                <w:color w:val="auto"/>
                <w:spacing w:val="-4"/>
                <w:szCs w:val="21"/>
              </w:rPr>
            </w:pPr>
            <w:r>
              <w:rPr>
                <w:color w:val="auto"/>
                <w:spacing w:val="-4"/>
                <w:szCs w:val="21"/>
              </w:rPr>
              <w:t>本次评标采用综合评估法。评标委员会对满足招标文件实质性要求的投标文件，按照本章第2.2款规定的评分标准进行打分，并按得分由高到低顺序推荐1-3名中标候选人</w:t>
            </w:r>
            <w:r>
              <w:rPr>
                <w:rFonts w:hint="eastAsia"/>
                <w:color w:val="auto"/>
                <w:spacing w:val="-4"/>
                <w:szCs w:val="21"/>
              </w:rPr>
              <w:t>（无排序）</w:t>
            </w:r>
            <w:r>
              <w:rPr>
                <w:color w:val="auto"/>
                <w:spacing w:val="-4"/>
                <w:szCs w:val="21"/>
              </w:rPr>
              <w:t>。综合评分相等时，评标委员会依次按照以下优先顺序推荐中标候选人</w:t>
            </w:r>
            <w:r>
              <w:rPr>
                <w:rFonts w:hint="eastAsia"/>
                <w:color w:val="auto"/>
                <w:spacing w:val="-4"/>
                <w:szCs w:val="21"/>
              </w:rPr>
              <w:t>（无排序）</w:t>
            </w:r>
            <w:r>
              <w:rPr>
                <w:color w:val="auto"/>
                <w:spacing w:val="-4"/>
                <w:szCs w:val="21"/>
              </w:rPr>
              <w:t>：</w:t>
            </w:r>
          </w:p>
          <w:p>
            <w:pPr>
              <w:jc w:val="left"/>
              <w:rPr>
                <w:color w:val="auto"/>
                <w:spacing w:val="-4"/>
                <w:szCs w:val="21"/>
              </w:rPr>
            </w:pPr>
            <w:r>
              <w:rPr>
                <w:color w:val="auto"/>
                <w:spacing w:val="-4"/>
                <w:szCs w:val="21"/>
              </w:rPr>
              <w:t>（1）评标价低的投标人优先；</w:t>
            </w:r>
          </w:p>
          <w:p>
            <w:pPr>
              <w:jc w:val="left"/>
              <w:rPr>
                <w:color w:val="auto"/>
                <w:spacing w:val="-4"/>
                <w:szCs w:val="21"/>
              </w:rPr>
            </w:pPr>
            <w:r>
              <w:rPr>
                <w:color w:val="auto"/>
                <w:spacing w:val="-4"/>
                <w:szCs w:val="21"/>
              </w:rPr>
              <w:t>（2）技术建议书得分较高的投标人优先；</w:t>
            </w:r>
          </w:p>
          <w:p>
            <w:pPr>
              <w:jc w:val="left"/>
              <w:rPr>
                <w:color w:val="auto"/>
                <w:spacing w:val="-4"/>
                <w:szCs w:val="21"/>
              </w:rPr>
            </w:pPr>
            <w:r>
              <w:rPr>
                <w:color w:val="auto"/>
                <w:spacing w:val="-4"/>
                <w:szCs w:val="21"/>
              </w:rPr>
              <w:t>（3）投标人满足资格审查条件</w:t>
            </w:r>
            <w:r>
              <w:rPr>
                <w:rFonts w:hint="eastAsia"/>
                <w:color w:val="auto"/>
                <w:spacing w:val="-4"/>
                <w:szCs w:val="21"/>
              </w:rPr>
              <w:t>（</w:t>
            </w:r>
            <w:r>
              <w:rPr>
                <w:color w:val="auto"/>
                <w:spacing w:val="-4"/>
                <w:szCs w:val="21"/>
              </w:rPr>
              <w:t>业绩最低条件</w:t>
            </w:r>
            <w:r>
              <w:rPr>
                <w:rFonts w:hint="eastAsia"/>
                <w:color w:val="auto"/>
                <w:spacing w:val="-4"/>
                <w:szCs w:val="21"/>
              </w:rPr>
              <w:t>）</w:t>
            </w:r>
            <w:r>
              <w:rPr>
                <w:color w:val="auto"/>
                <w:spacing w:val="-4"/>
                <w:szCs w:val="21"/>
              </w:rPr>
              <w:t>要求的业绩累计金额高的优先。</w:t>
            </w:r>
          </w:p>
          <w:p>
            <w:pPr>
              <w:jc w:val="left"/>
              <w:textAlignment w:val="baseline"/>
              <w:rPr>
                <w:color w:val="auto"/>
                <w:szCs w:val="21"/>
              </w:rPr>
            </w:pPr>
            <w:r>
              <w:rPr>
                <w:rFonts w:hint="eastAsia"/>
                <w:color w:val="auto"/>
                <w:szCs w:val="21"/>
              </w:rPr>
              <w:t>注：1、已被确定为本项目设计施工总承包的中标人，及与上述单位的单位负责人为同一人或存在控、管理关系的不同单位，不得被推荐为本项目施工监理的中标候选人。</w:t>
            </w:r>
          </w:p>
          <w:p>
            <w:pPr>
              <w:jc w:val="left"/>
              <w:textAlignment w:val="baseline"/>
              <w:rPr>
                <w:color w:val="auto"/>
                <w:spacing w:val="-4"/>
                <w:szCs w:val="21"/>
              </w:rPr>
            </w:pPr>
            <w:r>
              <w:rPr>
                <w:rFonts w:hint="eastAsia"/>
                <w:color w:val="auto"/>
                <w:spacing w:val="-4"/>
                <w:szCs w:val="21"/>
              </w:rPr>
              <w:t>2、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2.1.1</w:t>
            </w:r>
          </w:p>
          <w:p>
            <w:pPr>
              <w:jc w:val="center"/>
              <w:textAlignment w:val="baseline"/>
              <w:rPr>
                <w:color w:val="auto"/>
                <w:szCs w:val="21"/>
              </w:rPr>
            </w:pPr>
            <w:r>
              <w:rPr>
                <w:color w:val="auto"/>
                <w:szCs w:val="21"/>
              </w:rPr>
              <w:t>2.1.3</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形式评审与响应性评审标准</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tcPr>
          <w:p>
            <w:pPr>
              <w:snapToGrid w:val="0"/>
              <w:jc w:val="left"/>
              <w:textAlignment w:val="baseline"/>
              <w:rPr>
                <w:b/>
                <w:bCs/>
                <w:color w:val="auto"/>
                <w:kern w:val="0"/>
                <w:szCs w:val="21"/>
              </w:rPr>
            </w:pPr>
            <w:r>
              <w:rPr>
                <w:b/>
                <w:bCs/>
                <w:color w:val="auto"/>
                <w:kern w:val="0"/>
                <w:szCs w:val="21"/>
              </w:rPr>
              <w:t>第一个信封（商务文件）评审标准：</w:t>
            </w:r>
          </w:p>
          <w:p>
            <w:pPr>
              <w:snapToGrid w:val="0"/>
              <w:jc w:val="left"/>
              <w:textAlignment w:val="baseline"/>
              <w:rPr>
                <w:color w:val="auto"/>
                <w:kern w:val="0"/>
                <w:szCs w:val="21"/>
              </w:rPr>
            </w:pPr>
            <w:r>
              <w:rPr>
                <w:color w:val="auto"/>
                <w:kern w:val="0"/>
                <w:szCs w:val="21"/>
              </w:rPr>
              <w:t>（1）投标文件按照招标文件规定的格式、内容填写，字迹清晰可辨。</w:t>
            </w:r>
          </w:p>
          <w:p>
            <w:pPr>
              <w:snapToGrid w:val="0"/>
              <w:jc w:val="left"/>
              <w:textAlignment w:val="baseline"/>
              <w:rPr>
                <w:color w:val="auto"/>
                <w:kern w:val="0"/>
                <w:szCs w:val="21"/>
              </w:rPr>
            </w:pPr>
            <w:r>
              <w:rPr>
                <w:color w:val="auto"/>
                <w:kern w:val="0"/>
                <w:szCs w:val="21"/>
              </w:rPr>
              <w:t>a．投标函按招标文件规定填报了项目名称、补遗书编号（如有）、质量要求、安全目标、监理服务期限、</w:t>
            </w:r>
            <w:r>
              <w:rPr>
                <w:rFonts w:hint="eastAsia"/>
                <w:color w:val="auto"/>
                <w:kern w:val="0"/>
                <w:szCs w:val="21"/>
              </w:rPr>
              <w:t>监理总负责人</w:t>
            </w:r>
            <w:r>
              <w:rPr>
                <w:color w:val="auto"/>
                <w:kern w:val="0"/>
                <w:szCs w:val="21"/>
              </w:rPr>
              <w:t>相关信息；</w:t>
            </w:r>
          </w:p>
          <w:p>
            <w:pPr>
              <w:snapToGrid w:val="0"/>
              <w:jc w:val="left"/>
              <w:textAlignment w:val="baseline"/>
              <w:rPr>
                <w:color w:val="auto"/>
                <w:kern w:val="0"/>
                <w:szCs w:val="21"/>
              </w:rPr>
            </w:pPr>
            <w:r>
              <w:rPr>
                <w:color w:val="auto"/>
                <w:kern w:val="0"/>
                <w:szCs w:val="21"/>
              </w:rPr>
              <w:t>b．投标文件组成齐全完整，内容均按规定填写。</w:t>
            </w:r>
          </w:p>
          <w:p>
            <w:pPr>
              <w:snapToGrid w:val="0"/>
              <w:jc w:val="left"/>
              <w:textAlignment w:val="baseline"/>
              <w:rPr>
                <w:color w:val="auto"/>
                <w:kern w:val="0"/>
                <w:szCs w:val="21"/>
              </w:rPr>
            </w:pPr>
            <w:r>
              <w:rPr>
                <w:color w:val="auto"/>
                <w:kern w:val="0"/>
                <w:szCs w:val="21"/>
              </w:rPr>
              <w:t>（2）投标文件上法定代表人或其授权代理人的签字、投标人的单位章盖章齐全，符合招标文件规定。</w:t>
            </w:r>
          </w:p>
          <w:p>
            <w:pPr>
              <w:snapToGrid w:val="0"/>
              <w:jc w:val="left"/>
              <w:textAlignment w:val="baseline"/>
              <w:rPr>
                <w:color w:val="auto"/>
                <w:kern w:val="0"/>
                <w:szCs w:val="21"/>
              </w:rPr>
            </w:pPr>
            <w:r>
              <w:rPr>
                <w:color w:val="auto"/>
                <w:kern w:val="0"/>
                <w:szCs w:val="21"/>
              </w:rPr>
              <w:t>（3）投标人按照招标文件投标人须知前附表3.4.1的规定提供了投标保证金。</w:t>
            </w:r>
          </w:p>
          <w:p>
            <w:pPr>
              <w:snapToGrid w:val="0"/>
              <w:jc w:val="left"/>
              <w:textAlignment w:val="baseline"/>
              <w:rPr>
                <w:color w:val="auto"/>
                <w:kern w:val="0"/>
                <w:szCs w:val="21"/>
              </w:rPr>
            </w:pPr>
            <w:r>
              <w:rPr>
                <w:color w:val="auto"/>
                <w:kern w:val="0"/>
                <w:szCs w:val="21"/>
              </w:rPr>
              <w:t>（4）投标人法定代表人授权委托代理人签署投标文件的，须提交授权委托书，符合招标文件规定。</w:t>
            </w:r>
          </w:p>
          <w:p>
            <w:pPr>
              <w:snapToGrid w:val="0"/>
              <w:jc w:val="left"/>
              <w:textAlignment w:val="baseline"/>
              <w:rPr>
                <w:color w:val="auto"/>
                <w:kern w:val="0"/>
                <w:szCs w:val="21"/>
              </w:rPr>
            </w:pPr>
            <w:r>
              <w:rPr>
                <w:color w:val="auto"/>
                <w:kern w:val="0"/>
                <w:szCs w:val="21"/>
              </w:rPr>
              <w:t>（5）投标人法定代表人若亲自签署投标文件的，提供了法定代表人身份证明，符合招标文件规定。</w:t>
            </w:r>
          </w:p>
          <w:p>
            <w:pPr>
              <w:snapToGrid w:val="0"/>
              <w:jc w:val="left"/>
              <w:textAlignment w:val="baseline"/>
              <w:rPr>
                <w:color w:val="auto"/>
                <w:kern w:val="0"/>
                <w:szCs w:val="21"/>
              </w:rPr>
            </w:pPr>
            <w:r>
              <w:rPr>
                <w:color w:val="auto"/>
                <w:kern w:val="0"/>
                <w:szCs w:val="21"/>
              </w:rPr>
              <w:t>（6）投标人未以联合体形式投标。</w:t>
            </w:r>
          </w:p>
          <w:p>
            <w:pPr>
              <w:snapToGrid w:val="0"/>
              <w:jc w:val="left"/>
              <w:textAlignment w:val="baseline"/>
              <w:rPr>
                <w:color w:val="auto"/>
                <w:kern w:val="0"/>
                <w:szCs w:val="21"/>
              </w:rPr>
            </w:pPr>
            <w:r>
              <w:rPr>
                <w:color w:val="auto"/>
                <w:kern w:val="0"/>
                <w:szCs w:val="21"/>
              </w:rPr>
              <w:t>（7）投标人未对本项目提出分包计划。</w:t>
            </w:r>
          </w:p>
          <w:p>
            <w:pPr>
              <w:snapToGrid w:val="0"/>
              <w:jc w:val="left"/>
              <w:textAlignment w:val="baseline"/>
              <w:rPr>
                <w:color w:val="auto"/>
                <w:kern w:val="0"/>
                <w:szCs w:val="21"/>
              </w:rPr>
            </w:pPr>
            <w:r>
              <w:rPr>
                <w:color w:val="auto"/>
                <w:kern w:val="0"/>
                <w:szCs w:val="21"/>
              </w:rPr>
              <w:t>（8）同一投标人未提交两个以上不同的投标文件。</w:t>
            </w:r>
          </w:p>
          <w:p>
            <w:pPr>
              <w:snapToGrid w:val="0"/>
              <w:jc w:val="left"/>
              <w:textAlignment w:val="baseline"/>
              <w:rPr>
                <w:color w:val="auto"/>
                <w:kern w:val="0"/>
                <w:szCs w:val="21"/>
              </w:rPr>
            </w:pPr>
            <w:r>
              <w:rPr>
                <w:color w:val="auto"/>
                <w:kern w:val="0"/>
                <w:szCs w:val="21"/>
              </w:rPr>
              <w:t>（9）投标文件中未出现有关投标报价的内容。</w:t>
            </w:r>
          </w:p>
          <w:p>
            <w:pPr>
              <w:snapToGrid w:val="0"/>
              <w:jc w:val="left"/>
              <w:textAlignment w:val="baseline"/>
              <w:rPr>
                <w:color w:val="auto"/>
                <w:kern w:val="0"/>
                <w:szCs w:val="21"/>
              </w:rPr>
            </w:pPr>
            <w:r>
              <w:rPr>
                <w:color w:val="auto"/>
                <w:kern w:val="0"/>
                <w:szCs w:val="21"/>
              </w:rPr>
              <w:t>（10）投标文件载明的招标项目服务期限符合招标文件规定。</w:t>
            </w:r>
          </w:p>
          <w:p>
            <w:pPr>
              <w:snapToGrid w:val="0"/>
              <w:jc w:val="left"/>
              <w:textAlignment w:val="baseline"/>
              <w:rPr>
                <w:color w:val="auto"/>
                <w:kern w:val="0"/>
                <w:szCs w:val="21"/>
              </w:rPr>
            </w:pPr>
            <w:r>
              <w:rPr>
                <w:color w:val="auto"/>
                <w:kern w:val="0"/>
                <w:szCs w:val="21"/>
              </w:rPr>
              <w:t>（11）投标文件对招标文件的实质性要求和条件作出响应。</w:t>
            </w:r>
          </w:p>
          <w:p>
            <w:pPr>
              <w:snapToGrid w:val="0"/>
              <w:jc w:val="left"/>
              <w:textAlignment w:val="baseline"/>
              <w:rPr>
                <w:color w:val="auto"/>
                <w:kern w:val="0"/>
                <w:szCs w:val="21"/>
              </w:rPr>
            </w:pPr>
            <w:r>
              <w:rPr>
                <w:color w:val="auto"/>
                <w:kern w:val="0"/>
                <w:szCs w:val="21"/>
              </w:rPr>
              <w:t xml:space="preserve">（12）权利义务符合招标文件规定： </w:t>
            </w:r>
          </w:p>
          <w:p>
            <w:pPr>
              <w:snapToGrid w:val="0"/>
              <w:jc w:val="left"/>
              <w:textAlignment w:val="baseline"/>
              <w:rPr>
                <w:color w:val="auto"/>
                <w:kern w:val="0"/>
                <w:szCs w:val="21"/>
              </w:rPr>
            </w:pPr>
            <w:r>
              <w:rPr>
                <w:color w:val="auto"/>
                <w:kern w:val="0"/>
                <w:szCs w:val="21"/>
              </w:rPr>
              <w:t>a.投标人应接受招标文件规定的风险划分原则，未提出新的风险划分办法；</w:t>
            </w:r>
          </w:p>
          <w:p>
            <w:pPr>
              <w:snapToGrid w:val="0"/>
              <w:jc w:val="left"/>
              <w:textAlignment w:val="baseline"/>
              <w:rPr>
                <w:color w:val="auto"/>
                <w:kern w:val="0"/>
                <w:szCs w:val="21"/>
              </w:rPr>
            </w:pPr>
            <w:r>
              <w:rPr>
                <w:color w:val="auto"/>
                <w:kern w:val="0"/>
                <w:szCs w:val="21"/>
              </w:rPr>
              <w:t>b.投标人未增加</w:t>
            </w:r>
            <w:r>
              <w:rPr>
                <w:rFonts w:hint="eastAsia"/>
                <w:color w:val="auto"/>
                <w:kern w:val="0"/>
                <w:szCs w:val="21"/>
              </w:rPr>
              <w:t>委托</w:t>
            </w:r>
            <w:r>
              <w:rPr>
                <w:color w:val="auto"/>
                <w:kern w:val="0"/>
                <w:szCs w:val="21"/>
              </w:rPr>
              <w:t>人的责任范围，或减少投标人义务；</w:t>
            </w:r>
          </w:p>
          <w:p>
            <w:pPr>
              <w:snapToGrid w:val="0"/>
              <w:jc w:val="left"/>
              <w:textAlignment w:val="baseline"/>
              <w:rPr>
                <w:color w:val="auto"/>
                <w:kern w:val="0"/>
                <w:szCs w:val="21"/>
              </w:rPr>
            </w:pPr>
            <w:r>
              <w:rPr>
                <w:color w:val="auto"/>
                <w:kern w:val="0"/>
                <w:szCs w:val="21"/>
              </w:rPr>
              <w:t>c.投标人未提出不同的支付办法；</w:t>
            </w:r>
          </w:p>
          <w:p>
            <w:pPr>
              <w:snapToGrid w:val="0"/>
              <w:jc w:val="left"/>
              <w:textAlignment w:val="baseline"/>
              <w:rPr>
                <w:color w:val="auto"/>
                <w:kern w:val="0"/>
                <w:szCs w:val="21"/>
              </w:rPr>
            </w:pPr>
            <w:r>
              <w:rPr>
                <w:color w:val="auto"/>
                <w:kern w:val="0"/>
                <w:szCs w:val="21"/>
              </w:rPr>
              <w:t>d.投标人对合同纠纷、事故处理办法未提出异议；</w:t>
            </w:r>
          </w:p>
          <w:p>
            <w:pPr>
              <w:snapToGrid w:val="0"/>
              <w:jc w:val="left"/>
              <w:textAlignment w:val="baseline"/>
              <w:rPr>
                <w:color w:val="auto"/>
                <w:kern w:val="0"/>
                <w:szCs w:val="21"/>
              </w:rPr>
            </w:pPr>
            <w:r>
              <w:rPr>
                <w:color w:val="auto"/>
                <w:kern w:val="0"/>
                <w:szCs w:val="21"/>
              </w:rPr>
              <w:t>e.投标人在投标活动中无欺诈行为；</w:t>
            </w:r>
          </w:p>
          <w:p>
            <w:pPr>
              <w:snapToGrid w:val="0"/>
              <w:jc w:val="left"/>
              <w:textAlignment w:val="baseline"/>
              <w:rPr>
                <w:color w:val="auto"/>
                <w:kern w:val="0"/>
                <w:szCs w:val="21"/>
              </w:rPr>
            </w:pPr>
            <w:r>
              <w:rPr>
                <w:color w:val="auto"/>
                <w:kern w:val="0"/>
                <w:szCs w:val="21"/>
              </w:rPr>
              <w:t>f.投标人未对合同条款有重要保留。</w:t>
            </w:r>
          </w:p>
          <w:p>
            <w:pPr>
              <w:jc w:val="left"/>
              <w:rPr>
                <w:b/>
                <w:bCs/>
                <w:color w:val="auto"/>
                <w:spacing w:val="-4"/>
                <w:szCs w:val="21"/>
              </w:rPr>
            </w:pPr>
            <w:r>
              <w:rPr>
                <w:b/>
                <w:bCs/>
                <w:color w:val="auto"/>
                <w:spacing w:val="-4"/>
                <w:szCs w:val="21"/>
              </w:rPr>
              <w:t>第一个信封（技术文件）评审标准:</w:t>
            </w:r>
          </w:p>
          <w:p>
            <w:pPr>
              <w:snapToGrid w:val="0"/>
              <w:jc w:val="left"/>
              <w:textAlignment w:val="baseline"/>
              <w:rPr>
                <w:color w:val="auto"/>
                <w:kern w:val="0"/>
                <w:szCs w:val="21"/>
              </w:rPr>
            </w:pPr>
            <w:r>
              <w:rPr>
                <w:color w:val="auto"/>
                <w:kern w:val="0"/>
                <w:szCs w:val="21"/>
              </w:rPr>
              <w:t>（1）技术建议书（暗标）符合招标文件第二章“投标人须知”第3.7.3款的投标文件技术部分暗标编制要求。</w:t>
            </w:r>
          </w:p>
          <w:p>
            <w:pPr>
              <w:snapToGrid w:val="0"/>
              <w:jc w:val="left"/>
              <w:textAlignment w:val="baseline"/>
              <w:rPr>
                <w:b/>
                <w:bCs/>
                <w:color w:val="auto"/>
                <w:kern w:val="0"/>
                <w:szCs w:val="21"/>
              </w:rPr>
            </w:pPr>
            <w:r>
              <w:rPr>
                <w:b/>
                <w:bCs/>
                <w:color w:val="auto"/>
                <w:kern w:val="0"/>
                <w:szCs w:val="21"/>
              </w:rPr>
              <w:t>第二个信封（报价文件）评审标准：</w:t>
            </w:r>
          </w:p>
          <w:p>
            <w:pPr>
              <w:snapToGrid w:val="0"/>
              <w:jc w:val="left"/>
              <w:textAlignment w:val="baseline"/>
              <w:rPr>
                <w:color w:val="auto"/>
                <w:kern w:val="0"/>
                <w:szCs w:val="21"/>
              </w:rPr>
            </w:pPr>
            <w:r>
              <w:rPr>
                <w:color w:val="auto"/>
                <w:kern w:val="0"/>
                <w:szCs w:val="21"/>
              </w:rPr>
              <w:t>（1）投标文件按照招标文件规定的格式、内容填写，字迹清晰可辨。</w:t>
            </w:r>
          </w:p>
          <w:p>
            <w:pPr>
              <w:snapToGrid w:val="0"/>
              <w:jc w:val="left"/>
              <w:textAlignment w:val="baseline"/>
              <w:rPr>
                <w:color w:val="auto"/>
                <w:kern w:val="0"/>
                <w:szCs w:val="21"/>
              </w:rPr>
            </w:pPr>
            <w:r>
              <w:rPr>
                <w:color w:val="auto"/>
                <w:kern w:val="0"/>
                <w:szCs w:val="21"/>
              </w:rPr>
              <w:t>a</w:t>
            </w:r>
            <w:r>
              <w:rPr>
                <w:rFonts w:hint="eastAsia"/>
                <w:color w:val="auto"/>
                <w:kern w:val="0"/>
                <w:szCs w:val="21"/>
              </w:rPr>
              <w:t>.</w:t>
            </w:r>
            <w:r>
              <w:rPr>
                <w:color w:val="auto"/>
                <w:kern w:val="0"/>
                <w:szCs w:val="21"/>
              </w:rPr>
              <w:t>投标函按招标文件规定填报了项目名称、补遗书编号（如有）、投标报价（包括大写金额和小写金额）、交工验收及缺陷责任期阶段监理服务费等；</w:t>
            </w:r>
          </w:p>
          <w:p>
            <w:pPr>
              <w:snapToGrid w:val="0"/>
              <w:jc w:val="left"/>
              <w:textAlignment w:val="baseline"/>
              <w:rPr>
                <w:color w:val="auto"/>
                <w:kern w:val="0"/>
                <w:szCs w:val="21"/>
              </w:rPr>
            </w:pPr>
            <w:r>
              <w:rPr>
                <w:color w:val="auto"/>
                <w:kern w:val="0"/>
                <w:szCs w:val="21"/>
              </w:rPr>
              <w:t>b</w:t>
            </w:r>
            <w:r>
              <w:rPr>
                <w:rFonts w:hint="eastAsia"/>
                <w:color w:val="auto"/>
                <w:kern w:val="0"/>
                <w:szCs w:val="21"/>
              </w:rPr>
              <w:t>.</w:t>
            </w:r>
            <w:r>
              <w:rPr>
                <w:color w:val="auto"/>
                <w:kern w:val="0"/>
                <w:szCs w:val="21"/>
              </w:rPr>
              <w:t>报价清单说明文字与招标文件规定一致，未进行实质性修改和删减；</w:t>
            </w:r>
          </w:p>
          <w:p>
            <w:pPr>
              <w:snapToGrid w:val="0"/>
              <w:jc w:val="left"/>
              <w:textAlignment w:val="baseline"/>
              <w:rPr>
                <w:color w:val="auto"/>
                <w:kern w:val="0"/>
                <w:szCs w:val="21"/>
              </w:rPr>
            </w:pPr>
            <w:r>
              <w:rPr>
                <w:color w:val="auto"/>
                <w:kern w:val="0"/>
                <w:szCs w:val="21"/>
              </w:rPr>
              <w:t>c.投标文件组成齐全完整，内容均按规定填写。</w:t>
            </w:r>
          </w:p>
          <w:p>
            <w:pPr>
              <w:snapToGrid w:val="0"/>
              <w:jc w:val="left"/>
              <w:textAlignment w:val="baseline"/>
              <w:rPr>
                <w:color w:val="auto"/>
                <w:kern w:val="0"/>
                <w:szCs w:val="21"/>
              </w:rPr>
            </w:pPr>
            <w:r>
              <w:rPr>
                <w:color w:val="auto"/>
                <w:kern w:val="0"/>
                <w:szCs w:val="21"/>
              </w:rPr>
              <w:t>（2）投标文件上法定代表人或其授权代理人的签字、投标人的单位章盖章齐全，符合招标文件规定。</w:t>
            </w:r>
          </w:p>
          <w:p>
            <w:pPr>
              <w:snapToGrid w:val="0"/>
              <w:jc w:val="left"/>
              <w:textAlignment w:val="baseline"/>
              <w:rPr>
                <w:color w:val="auto"/>
                <w:kern w:val="0"/>
                <w:szCs w:val="21"/>
              </w:rPr>
            </w:pPr>
            <w:r>
              <w:rPr>
                <w:color w:val="auto"/>
                <w:kern w:val="0"/>
                <w:szCs w:val="21"/>
              </w:rPr>
              <w:t>（3）</w:t>
            </w:r>
            <w:r>
              <w:rPr>
                <w:rFonts w:hint="eastAsia"/>
                <w:color w:val="auto"/>
                <w:kern w:val="0"/>
                <w:szCs w:val="21"/>
              </w:rPr>
              <w:t>投标总报价</w:t>
            </w:r>
            <w:r>
              <w:rPr>
                <w:color w:val="auto"/>
                <w:kern w:val="0"/>
                <w:szCs w:val="21"/>
              </w:rPr>
              <w:t>超过招标文件设定的最高投标限价。</w:t>
            </w:r>
          </w:p>
          <w:p>
            <w:pPr>
              <w:snapToGrid w:val="0"/>
              <w:jc w:val="left"/>
              <w:textAlignment w:val="baseline"/>
              <w:rPr>
                <w:color w:val="auto"/>
                <w:kern w:val="0"/>
                <w:szCs w:val="21"/>
              </w:rPr>
            </w:pPr>
            <w:r>
              <w:rPr>
                <w:color w:val="auto"/>
                <w:kern w:val="0"/>
                <w:szCs w:val="21"/>
              </w:rPr>
              <w:t>（4）投标报价的大写金额能够确定具体数值。</w:t>
            </w:r>
          </w:p>
          <w:p>
            <w:pPr>
              <w:snapToGrid w:val="0"/>
              <w:jc w:val="left"/>
              <w:textAlignment w:val="baseline"/>
              <w:rPr>
                <w:color w:val="auto"/>
                <w:kern w:val="0"/>
                <w:szCs w:val="21"/>
              </w:rPr>
            </w:pPr>
            <w:r>
              <w:rPr>
                <w:rFonts w:hint="eastAsia"/>
                <w:color w:val="auto"/>
                <w:kern w:val="0"/>
                <w:szCs w:val="21"/>
              </w:rPr>
              <w:t>（5）投标人未提交调价函。</w:t>
            </w:r>
          </w:p>
          <w:p>
            <w:pPr>
              <w:snapToGrid w:val="0"/>
              <w:jc w:val="left"/>
              <w:textAlignment w:val="baseline"/>
              <w:rPr>
                <w:color w:val="auto"/>
                <w:kern w:val="0"/>
                <w:szCs w:val="21"/>
              </w:rPr>
            </w:pPr>
            <w:r>
              <w:rPr>
                <w:color w:val="auto"/>
                <w:kern w:val="0"/>
                <w:szCs w:val="21"/>
              </w:rPr>
              <w:t>（</w:t>
            </w:r>
            <w:r>
              <w:rPr>
                <w:rFonts w:hint="eastAsia"/>
                <w:color w:val="auto"/>
                <w:kern w:val="0"/>
                <w:szCs w:val="21"/>
              </w:rPr>
              <w:t>6</w:t>
            </w:r>
            <w:r>
              <w:rPr>
                <w:color w:val="auto"/>
                <w:kern w:val="0"/>
                <w:szCs w:val="21"/>
              </w:rPr>
              <w:t>）同一投标人未提交两个以上不同的投标报价。</w:t>
            </w:r>
          </w:p>
          <w:p>
            <w:pPr>
              <w:snapToGrid w:val="0"/>
              <w:jc w:val="left"/>
              <w:textAlignment w:val="baseline"/>
              <w:rPr>
                <w:color w:val="auto"/>
                <w:kern w:val="0"/>
                <w:szCs w:val="21"/>
              </w:rPr>
            </w:pPr>
            <w:r>
              <w:rPr>
                <w:rFonts w:hint="eastAsia"/>
                <w:color w:val="auto"/>
                <w:szCs w:val="21"/>
              </w:rPr>
              <w:t>（7）</w:t>
            </w:r>
            <w:r>
              <w:rPr>
                <w:color w:val="auto"/>
                <w:kern w:val="0"/>
                <w:szCs w:val="21"/>
              </w:rPr>
              <w:t>投标报价中交工验收及缺陷责任期阶段监理服务费报价不低于监理服务总费用的5%。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2.1.2</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资格评审</w:t>
            </w:r>
          </w:p>
          <w:p>
            <w:pPr>
              <w:jc w:val="center"/>
              <w:textAlignment w:val="baseline"/>
              <w:rPr>
                <w:color w:val="auto"/>
                <w:szCs w:val="21"/>
              </w:rPr>
            </w:pPr>
            <w:r>
              <w:rPr>
                <w:color w:val="auto"/>
                <w:szCs w:val="21"/>
              </w:rPr>
              <w:t>标准</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napToGrid w:val="0"/>
              <w:jc w:val="left"/>
              <w:textAlignment w:val="baseline"/>
              <w:rPr>
                <w:color w:val="auto"/>
                <w:kern w:val="0"/>
                <w:szCs w:val="21"/>
              </w:rPr>
            </w:pPr>
            <w:r>
              <w:rPr>
                <w:color w:val="auto"/>
                <w:kern w:val="0"/>
                <w:szCs w:val="21"/>
              </w:rPr>
              <w:t>（1）投标人具备有效的营业执照、组织机构代码证（三证合一或五证合一的除外）、监理资质证书和基本账户开户许可证（或基本存款账户信息）；</w:t>
            </w:r>
          </w:p>
          <w:p>
            <w:pPr>
              <w:snapToGrid w:val="0"/>
              <w:jc w:val="left"/>
              <w:textAlignment w:val="baseline"/>
              <w:rPr>
                <w:color w:val="auto"/>
                <w:kern w:val="0"/>
                <w:szCs w:val="21"/>
              </w:rPr>
            </w:pPr>
            <w:r>
              <w:rPr>
                <w:color w:val="auto"/>
                <w:kern w:val="0"/>
                <w:szCs w:val="21"/>
              </w:rPr>
              <w:t>（2）投标人的资质等级符合招标文件规定。</w:t>
            </w:r>
          </w:p>
          <w:p>
            <w:pPr>
              <w:snapToGrid w:val="0"/>
              <w:jc w:val="left"/>
              <w:textAlignment w:val="baseline"/>
              <w:rPr>
                <w:color w:val="auto"/>
                <w:kern w:val="0"/>
                <w:szCs w:val="21"/>
              </w:rPr>
            </w:pPr>
            <w:r>
              <w:rPr>
                <w:color w:val="auto"/>
                <w:kern w:val="0"/>
                <w:szCs w:val="21"/>
              </w:rPr>
              <w:t>（3）投标人的类似项目业绩符合招标文件的规定。</w:t>
            </w:r>
          </w:p>
          <w:p>
            <w:pPr>
              <w:snapToGrid w:val="0"/>
              <w:jc w:val="left"/>
              <w:textAlignment w:val="baseline"/>
              <w:rPr>
                <w:color w:val="auto"/>
                <w:kern w:val="0"/>
                <w:szCs w:val="21"/>
              </w:rPr>
            </w:pPr>
            <w:r>
              <w:rPr>
                <w:color w:val="auto"/>
                <w:kern w:val="0"/>
                <w:szCs w:val="21"/>
              </w:rPr>
              <w:t>（4）投标人的信誉符合招标文件规定。</w:t>
            </w:r>
          </w:p>
          <w:p>
            <w:pPr>
              <w:snapToGrid w:val="0"/>
              <w:jc w:val="left"/>
              <w:textAlignment w:val="baseline"/>
              <w:rPr>
                <w:color w:val="auto"/>
                <w:kern w:val="0"/>
                <w:szCs w:val="21"/>
              </w:rPr>
            </w:pPr>
            <w:r>
              <w:rPr>
                <w:color w:val="auto"/>
                <w:kern w:val="0"/>
                <w:szCs w:val="21"/>
              </w:rPr>
              <w:t>（5）投标人的</w:t>
            </w:r>
            <w:r>
              <w:rPr>
                <w:rFonts w:hint="eastAsia"/>
                <w:color w:val="auto"/>
                <w:kern w:val="0"/>
                <w:szCs w:val="21"/>
              </w:rPr>
              <w:t>监理总负责人、总监理工程师</w:t>
            </w:r>
            <w:r>
              <w:rPr>
                <w:color w:val="auto"/>
                <w:kern w:val="0"/>
                <w:szCs w:val="21"/>
              </w:rPr>
              <w:t>资格符合招标文件规定。</w:t>
            </w:r>
          </w:p>
          <w:p>
            <w:pPr>
              <w:snapToGrid w:val="0"/>
              <w:jc w:val="left"/>
              <w:textAlignment w:val="baseline"/>
              <w:rPr>
                <w:color w:val="auto"/>
                <w:kern w:val="0"/>
                <w:szCs w:val="21"/>
              </w:rPr>
            </w:pPr>
            <w:r>
              <w:rPr>
                <w:color w:val="auto"/>
                <w:kern w:val="0"/>
                <w:szCs w:val="21"/>
              </w:rPr>
              <w:t>（6）投标人不存在第二章“投标人须知”第1.4.3项或1.4.4项规定的任何一种情形。</w:t>
            </w:r>
          </w:p>
          <w:p>
            <w:pPr>
              <w:snapToGrid w:val="0"/>
              <w:jc w:val="left"/>
              <w:textAlignment w:val="baseline"/>
              <w:rPr>
                <w:color w:val="auto"/>
                <w:kern w:val="0"/>
                <w:szCs w:val="21"/>
              </w:rPr>
            </w:pPr>
            <w:r>
              <w:rPr>
                <w:color w:val="auto"/>
                <w:kern w:val="0"/>
                <w:szCs w:val="21"/>
              </w:rPr>
              <w:t>（7）投标人符合第二章“投标人须知”第1.4.5项规定。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2.2.1</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分值构成</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left"/>
              <w:rPr>
                <w:b/>
                <w:bCs/>
                <w:color w:val="auto"/>
                <w:spacing w:val="-4"/>
                <w:szCs w:val="21"/>
              </w:rPr>
            </w:pPr>
            <w:r>
              <w:rPr>
                <w:b/>
                <w:bCs/>
                <w:color w:val="auto"/>
                <w:spacing w:val="-4"/>
                <w:szCs w:val="21"/>
              </w:rPr>
              <w:t>第一信封（商务及技术文件）评分分值构成：</w:t>
            </w:r>
          </w:p>
          <w:p>
            <w:pPr>
              <w:jc w:val="left"/>
              <w:rPr>
                <w:color w:val="auto"/>
                <w:spacing w:val="-4"/>
                <w:szCs w:val="21"/>
              </w:rPr>
            </w:pPr>
            <w:r>
              <w:rPr>
                <w:color w:val="auto"/>
                <w:spacing w:val="-4"/>
                <w:szCs w:val="21"/>
              </w:rPr>
              <w:t>技术建议书（暗标部分）：</w:t>
            </w:r>
            <w:r>
              <w:rPr>
                <w:color w:val="auto"/>
                <w:spacing w:val="-4"/>
                <w:szCs w:val="21"/>
                <w:u w:val="single"/>
              </w:rPr>
              <w:t>35</w:t>
            </w:r>
            <w:r>
              <w:rPr>
                <w:color w:val="auto"/>
                <w:spacing w:val="-4"/>
                <w:szCs w:val="21"/>
              </w:rPr>
              <w:t>分</w:t>
            </w:r>
          </w:p>
          <w:p>
            <w:pPr>
              <w:jc w:val="left"/>
              <w:rPr>
                <w:color w:val="auto"/>
                <w:spacing w:val="-4"/>
                <w:szCs w:val="21"/>
              </w:rPr>
            </w:pPr>
            <w:r>
              <w:rPr>
                <w:color w:val="auto"/>
                <w:spacing w:val="-4"/>
                <w:szCs w:val="21"/>
              </w:rPr>
              <w:t>主要人员  （明标部分）：</w:t>
            </w:r>
            <w:r>
              <w:rPr>
                <w:color w:val="auto"/>
                <w:spacing w:val="-4"/>
                <w:szCs w:val="21"/>
                <w:u w:val="single"/>
              </w:rPr>
              <w:t>30</w:t>
            </w:r>
            <w:r>
              <w:rPr>
                <w:color w:val="auto"/>
                <w:spacing w:val="-4"/>
                <w:szCs w:val="21"/>
              </w:rPr>
              <w:t>分</w:t>
            </w:r>
          </w:p>
          <w:p>
            <w:pPr>
              <w:jc w:val="left"/>
              <w:rPr>
                <w:color w:val="auto"/>
                <w:spacing w:val="-4"/>
                <w:szCs w:val="21"/>
              </w:rPr>
            </w:pPr>
            <w:r>
              <w:rPr>
                <w:color w:val="auto"/>
                <w:spacing w:val="-4"/>
                <w:szCs w:val="21"/>
              </w:rPr>
              <w:t>其他因素  （明标部分）：</w:t>
            </w:r>
            <w:r>
              <w:rPr>
                <w:color w:val="auto"/>
                <w:spacing w:val="-4"/>
                <w:szCs w:val="21"/>
                <w:u w:val="single"/>
              </w:rPr>
              <w:t>25</w:t>
            </w:r>
            <w:r>
              <w:rPr>
                <w:color w:val="auto"/>
                <w:spacing w:val="-4"/>
                <w:szCs w:val="21"/>
              </w:rPr>
              <w:t>分</w:t>
            </w:r>
          </w:p>
          <w:p>
            <w:pPr>
              <w:jc w:val="left"/>
              <w:rPr>
                <w:b/>
                <w:bCs/>
                <w:color w:val="auto"/>
                <w:spacing w:val="-4"/>
                <w:szCs w:val="21"/>
              </w:rPr>
            </w:pPr>
            <w:r>
              <w:rPr>
                <w:b/>
                <w:bCs/>
                <w:color w:val="auto"/>
                <w:spacing w:val="-4"/>
                <w:szCs w:val="21"/>
              </w:rPr>
              <w:t>第二信封（报价文件）评分分值构成：</w:t>
            </w:r>
          </w:p>
          <w:p>
            <w:pPr>
              <w:jc w:val="left"/>
              <w:textAlignment w:val="baseline"/>
              <w:rPr>
                <w:color w:val="auto"/>
                <w:szCs w:val="21"/>
              </w:rPr>
            </w:pPr>
            <w:r>
              <w:rPr>
                <w:color w:val="auto"/>
                <w:spacing w:val="-4"/>
                <w:szCs w:val="21"/>
              </w:rPr>
              <w:t>评标价    （明标部分）：</w:t>
            </w:r>
            <w:r>
              <w:rPr>
                <w:color w:val="auto"/>
                <w:spacing w:val="-4"/>
                <w:szCs w:val="21"/>
                <w:u w:val="single"/>
              </w:rPr>
              <w:t>10</w:t>
            </w:r>
            <w:r>
              <w:rPr>
                <w:color w:val="auto"/>
                <w:spacing w:val="-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2.2.2</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评标基准价计算方法</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评标基准价的计算：</w:t>
            </w:r>
          </w:p>
          <w:p>
            <w:pPr>
              <w:spacing w:line="288" w:lineRule="auto"/>
              <w:ind w:firstLine="420" w:firstLineChars="200"/>
              <w:jc w:val="left"/>
              <w:rPr>
                <w:rFonts w:hint="eastAsia" w:ascii="宋体" w:hAnsi="宋体" w:cs="宋体"/>
                <w:color w:val="auto"/>
                <w:spacing w:val="-4"/>
                <w:szCs w:val="21"/>
              </w:rPr>
            </w:pPr>
            <w:r>
              <w:rPr>
                <w:rFonts w:hint="eastAsia" w:ascii="宋体" w:hAnsi="宋体" w:cs="宋体"/>
                <w:color w:val="auto"/>
                <w:szCs w:val="21"/>
              </w:rPr>
              <w:t>在第二个信封开标现场，招标人将按照第一信封开标现场抽取的评标基准价的计算方法当场计算并宣布评标基准价。</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（1）评标价的确定：</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评标价=投标函文字报价</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（2）评标价平均值的计算：</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除按第二章“投标人须知”第5.2.4项规定开标现场被宣布为不进入评标基准价计算的投标报价之外的投标人评标价，去掉n1个最高评标价和n2个最低评标价后的算术平均值即为评标价平均值：</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如果</w:t>
            </w:r>
            <w:r>
              <w:rPr>
                <w:rFonts w:hint="eastAsia" w:ascii="宋体" w:hAnsi="宋体"/>
                <w:color w:val="auto"/>
              </w:rPr>
              <w:t>参与评标价平均值计算的投标人数量＜</w:t>
            </w:r>
            <w:r>
              <w:rPr>
                <w:rFonts w:ascii="宋体" w:hAnsi="宋体"/>
                <w:color w:val="auto"/>
              </w:rPr>
              <w:t>6</w:t>
            </w:r>
            <w:r>
              <w:rPr>
                <w:rFonts w:hint="eastAsia" w:ascii="宋体" w:hAnsi="宋体"/>
                <w:color w:val="auto"/>
              </w:rPr>
              <w:t>家时</w:t>
            </w:r>
            <w:r>
              <w:rPr>
                <w:rFonts w:hint="eastAsia" w:ascii="宋体" w:hAnsi="宋体" w:cs="宋体"/>
                <w:color w:val="auto"/>
                <w:spacing w:val="-4"/>
                <w:szCs w:val="21"/>
              </w:rPr>
              <w:t>，n1=0，n2=0；</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6家≤参与评标价平均值计算的投标人数量＜10家时，n1=1，n2=1；</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10家≤参与评标价平均值计算的投标人数量＜20家时，n1=2，n2=2；</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参与评标价平均值计算的投标人数量≥20家时，n1=3，n2=3。</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（3）评标基准价的确定：</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采取随机抽取的方式从下列方法中确定评标基准价的计算方法：</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方法一：评标价平均值乘以评标基准价系数K1，作为评标基准价P。评标基准价系数K1取值范围为0.980、0.985、0.990、0.995、1.000，在开标现场随机抽取确定。</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方法二：评标基准价P=评标价平均值×（1-K2）+最高投标限价×K2。系数K2取值范围为0.10、0.15、0.20、0.25、0.30，在开标现场随机抽取确定。</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方法三：评标价平均值与投标人报价的中位数的平均值作为评标基准价P。</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中位数：把所有评标价按高低排序后找出正中间的一个作为中位数。如果评标价为偶数个，取最中间的两个数值的平均值作为中位数。</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 xml:space="preserve">评标基准价保留两位小数，第三位四舍五入。 </w:t>
            </w:r>
          </w:p>
          <w:p>
            <w:pPr>
              <w:spacing w:line="288" w:lineRule="auto"/>
              <w:ind w:firstLine="404" w:firstLineChars="200"/>
              <w:jc w:val="left"/>
              <w:rPr>
                <w:rFonts w:hint="eastAsia" w:ascii="宋体" w:hAnsi="宋体" w:cs="宋体"/>
                <w:color w:val="auto"/>
                <w:spacing w:val="-4"/>
                <w:szCs w:val="21"/>
              </w:rPr>
            </w:pPr>
            <w:r>
              <w:rPr>
                <w:rFonts w:hint="eastAsia" w:ascii="宋体" w:hAnsi="宋体" w:cs="宋体"/>
                <w:color w:val="auto"/>
                <w:spacing w:val="-4"/>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rPr>
                <w:color w:val="auto"/>
                <w:szCs w:val="21"/>
              </w:rPr>
            </w:pPr>
            <w:r>
              <w:rPr>
                <w:rFonts w:ascii="宋体" w:hAnsi="宋体"/>
                <w:color w:val="auto"/>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2.2.3</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评标价的偏差率</w:t>
            </w:r>
          </w:p>
          <w:p>
            <w:pPr>
              <w:jc w:val="center"/>
              <w:textAlignment w:val="baseline"/>
              <w:rPr>
                <w:color w:val="auto"/>
                <w:szCs w:val="21"/>
              </w:rPr>
            </w:pPr>
            <w:r>
              <w:rPr>
                <w:color w:val="auto"/>
                <w:szCs w:val="21"/>
              </w:rPr>
              <w:t>计算公式</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textAlignment w:val="baseline"/>
              <w:rPr>
                <w:color w:val="auto"/>
                <w:szCs w:val="21"/>
              </w:rPr>
            </w:pPr>
            <w:r>
              <w:rPr>
                <w:color w:val="auto"/>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3.6.1</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jc w:val="center"/>
              <w:textAlignment w:val="baseline"/>
              <w:rPr>
                <w:color w:val="auto"/>
                <w:szCs w:val="21"/>
              </w:rPr>
            </w:pPr>
            <w:r>
              <w:rPr>
                <w:color w:val="auto"/>
                <w:szCs w:val="21"/>
              </w:rPr>
              <w:t>投标文件相关信息的核查</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adjustRightInd w:val="0"/>
              <w:snapToGrid w:val="0"/>
              <w:rPr>
                <w:color w:val="auto"/>
                <w:szCs w:val="21"/>
              </w:rPr>
            </w:pPr>
            <w:r>
              <w:rPr>
                <w:color w:val="auto"/>
                <w:szCs w:val="21"/>
              </w:rPr>
              <w:t>本条修改为：</w:t>
            </w:r>
          </w:p>
          <w:p>
            <w:pPr>
              <w:adjustRightInd w:val="0"/>
              <w:snapToGrid w:val="0"/>
              <w:rPr>
                <w:color w:val="auto"/>
                <w:szCs w:val="21"/>
              </w:rPr>
            </w:pPr>
            <w:r>
              <w:rPr>
                <w:color w:val="auto"/>
                <w:szCs w:val="21"/>
              </w:rPr>
              <w:t>在评标过程中，评标委员会应对以下信息进行查询：</w:t>
            </w:r>
          </w:p>
          <w:p>
            <w:pPr>
              <w:adjustRightInd w:val="0"/>
              <w:snapToGrid w:val="0"/>
              <w:rPr>
                <w:color w:val="auto"/>
                <w:szCs w:val="21"/>
              </w:rPr>
            </w:pPr>
            <w:r>
              <w:rPr>
                <w:color w:val="auto"/>
                <w:szCs w:val="21"/>
              </w:rPr>
              <w:t>（1）投标人名称和资质与“全国公路建设市场监督管理系统（https://hwdms.mot.gov.cn/BMWebSite/index.jsp）”的复核结果一致；</w:t>
            </w:r>
          </w:p>
          <w:p>
            <w:pPr>
              <w:adjustRightInd w:val="0"/>
              <w:snapToGrid w:val="0"/>
              <w:rPr>
                <w:color w:val="auto"/>
                <w:szCs w:val="21"/>
              </w:rPr>
            </w:pPr>
            <w:r>
              <w:rPr>
                <w:color w:val="auto"/>
                <w:szCs w:val="21"/>
              </w:rPr>
              <w:t>（2）投标人的类似项目业绩符合招标文件规定，所附相关业绩详细信息网页截图的内容与“全国公路建设市场监督管理系统（https://hwdms.mot.gov.cn/BMWebSite/index.jsp）”的复核结果一致；</w:t>
            </w:r>
          </w:p>
          <w:p>
            <w:pPr>
              <w:adjustRightInd w:val="0"/>
              <w:snapToGrid w:val="0"/>
              <w:rPr>
                <w:color w:val="auto"/>
                <w:szCs w:val="21"/>
              </w:rPr>
            </w:pPr>
            <w:r>
              <w:rPr>
                <w:color w:val="auto"/>
                <w:szCs w:val="21"/>
              </w:rPr>
              <w:t>（3）所附</w:t>
            </w:r>
            <w:r>
              <w:rPr>
                <w:rFonts w:hint="eastAsia"/>
                <w:color w:val="auto"/>
                <w:szCs w:val="21"/>
              </w:rPr>
              <w:t>监理总负责人、总监理工程师</w:t>
            </w:r>
            <w:r>
              <w:rPr>
                <w:color w:val="auto"/>
                <w:szCs w:val="21"/>
              </w:rPr>
              <w:t>岗位登记信息（执业资格、履历信息等）及相应业绩的网页截图扫描件与“全国公路建设市场监督管理系统（https://hwdms.mot.gov.cn/BMWebSite/index.jsp）”的复核结果一致，并满足招标文件要求</w:t>
            </w:r>
            <w:r>
              <w:rPr>
                <w:rFonts w:hint="eastAsia"/>
                <w:color w:val="auto"/>
                <w:szCs w:val="21"/>
              </w:rPr>
              <w:t>（监理工程师职业资格证书（交通运输工程）不适用）</w:t>
            </w:r>
            <w:r>
              <w:rPr>
                <w:color w:val="auto"/>
                <w:szCs w:val="21"/>
              </w:rPr>
              <w:t>；</w:t>
            </w:r>
          </w:p>
          <w:p>
            <w:pPr>
              <w:adjustRightInd w:val="0"/>
              <w:snapToGrid w:val="0"/>
              <w:rPr>
                <w:color w:val="auto"/>
                <w:szCs w:val="21"/>
              </w:rPr>
            </w:pPr>
            <w:r>
              <w:rPr>
                <w:color w:val="auto"/>
                <w:szCs w:val="21"/>
              </w:rPr>
              <w:t>（4）评标委员会评标时在“国家企业信用信息公示系统（</w:t>
            </w:r>
            <w:r>
              <w:rPr>
                <w:color w:val="auto"/>
              </w:rPr>
              <w:fldChar w:fldCharType="begin"/>
            </w:r>
            <w:r>
              <w:rPr>
                <w:color w:val="auto"/>
              </w:rPr>
              <w:instrText xml:space="preserve">HYPERLINK "http://www.gsxt.gov.cn/"</w:instrText>
            </w:r>
            <w:r>
              <w:rPr>
                <w:color w:val="auto"/>
              </w:rPr>
              <w:fldChar w:fldCharType="separate"/>
            </w:r>
            <w:r>
              <w:rPr>
                <w:rStyle w:val="8"/>
                <w:color w:val="auto"/>
                <w:szCs w:val="21"/>
              </w:rPr>
              <w:t>http://www.gsxt.gov.cn/</w:t>
            </w:r>
            <w:r>
              <w:rPr>
                <w:rStyle w:val="8"/>
                <w:color w:val="auto"/>
                <w:szCs w:val="21"/>
              </w:rPr>
              <w:fldChar w:fldCharType="end"/>
            </w:r>
            <w:r>
              <w:rPr>
                <w:color w:val="auto"/>
                <w:szCs w:val="21"/>
              </w:rPr>
              <w:t>）”对投标人的信用情况进行查询，若投标人存在被列入“严重违法失信企业名单”情形的（不含分公司），评标委员会应否决其投标。</w:t>
            </w:r>
          </w:p>
          <w:p>
            <w:pPr>
              <w:adjustRightInd w:val="0"/>
              <w:snapToGrid w:val="0"/>
              <w:rPr>
                <w:color w:val="auto"/>
                <w:szCs w:val="21"/>
              </w:rPr>
            </w:pPr>
            <w:r>
              <w:rPr>
                <w:color w:val="auto"/>
                <w:szCs w:val="21"/>
              </w:rPr>
              <w:t>在“信用中国网站（</w:t>
            </w:r>
            <w:r>
              <w:rPr>
                <w:color w:val="auto"/>
              </w:rPr>
              <w:fldChar w:fldCharType="begin"/>
            </w:r>
            <w:r>
              <w:rPr>
                <w:color w:val="auto"/>
              </w:rPr>
              <w:instrText xml:space="preserve"> HYPERLINK "http://www.creditchina.gov.cn/" </w:instrText>
            </w:r>
            <w:r>
              <w:rPr>
                <w:color w:val="auto"/>
              </w:rPr>
              <w:fldChar w:fldCharType="separate"/>
            </w:r>
            <w:r>
              <w:rPr>
                <w:rStyle w:val="8"/>
                <w:color w:val="auto"/>
                <w:szCs w:val="21"/>
              </w:rPr>
              <w:t>http://www.creditchina.gov.cn/</w:t>
            </w:r>
            <w:r>
              <w:rPr>
                <w:rStyle w:val="8"/>
                <w:color w:val="auto"/>
                <w:szCs w:val="21"/>
              </w:rPr>
              <w:fldChar w:fldCharType="end"/>
            </w:r>
            <w:r>
              <w:rPr>
                <w:color w:val="auto"/>
                <w:szCs w:val="21"/>
              </w:rPr>
              <w:t>）”对投标人的信用情况进行查询，若投标人存在被列入“失信被执行人名单、经营异常名录信息查询、重大税收违法失信主体、政府采购严重违法失信名单”情形的（均不含分公司），评标委员会应否决其投标。</w:t>
            </w:r>
          </w:p>
          <w:p>
            <w:pPr>
              <w:adjustRightInd w:val="0"/>
              <w:snapToGrid w:val="0"/>
              <w:rPr>
                <w:color w:val="auto"/>
                <w:szCs w:val="21"/>
              </w:rPr>
            </w:pPr>
            <w:r>
              <w:rPr>
                <w:color w:val="auto"/>
                <w:szCs w:val="21"/>
              </w:rPr>
              <w:t>前述第（4）项如投标人</w:t>
            </w:r>
            <w:r>
              <w:rPr>
                <w:b/>
                <w:color w:val="auto"/>
                <w:szCs w:val="21"/>
              </w:rPr>
              <w:t>未提供相关网页截图或所附截图与复核结果不一致</w:t>
            </w:r>
            <w:r>
              <w:rPr>
                <w:color w:val="auto"/>
                <w:szCs w:val="21"/>
              </w:rPr>
              <w:t>的，评标委员会应否决其投标。</w:t>
            </w:r>
          </w:p>
          <w:p>
            <w:pPr>
              <w:adjustRightInd w:val="0"/>
              <w:snapToGrid w:val="0"/>
              <w:rPr>
                <w:color w:val="auto"/>
                <w:szCs w:val="21"/>
              </w:rPr>
            </w:pPr>
            <w:r>
              <w:rPr>
                <w:color w:val="auto"/>
                <w:szCs w:val="21"/>
              </w:rPr>
              <w:t>前述第（1）（2）（3）项如投标人</w:t>
            </w:r>
            <w:r>
              <w:rPr>
                <w:b/>
                <w:color w:val="auto"/>
                <w:szCs w:val="21"/>
              </w:rPr>
              <w:t>未提供相关网页截图或所附截图与复核结果不一致</w:t>
            </w:r>
            <w:r>
              <w:rPr>
                <w:color w:val="auto"/>
                <w:szCs w:val="21"/>
              </w:rPr>
              <w:t>导致不能满足资格评审要求的，评标委员会应否决其投标。</w:t>
            </w:r>
          </w:p>
          <w:p>
            <w:pPr>
              <w:adjustRightInd w:val="0"/>
              <w:snapToGrid w:val="0"/>
              <w:rPr>
                <w:color w:val="auto"/>
                <w:szCs w:val="21"/>
              </w:rPr>
            </w:pPr>
            <w:r>
              <w:rPr>
                <w:color w:val="auto"/>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pPr>
              <w:adjustRightInd w:val="0"/>
              <w:snapToGrid w:val="0"/>
              <w:rPr>
                <w:color w:val="auto"/>
                <w:szCs w:val="21"/>
              </w:rPr>
            </w:pPr>
            <w:r>
              <w:rPr>
                <w:color w:val="auto"/>
                <w:szCs w:val="21"/>
              </w:rPr>
              <w:t>（5）评标委员会在评标时按照投标人提供的验证方式对电子银行保函或电子担保保函或电子保证保险进行验证。如投标人未提供电子银行保函或电子担保保函或电子保证保险在线验证方式，或根据提供的验证方式无法核实的，评标委员会可以否决其投标。</w:t>
            </w:r>
          </w:p>
        </w:tc>
      </w:tr>
      <w:bookmarkEnd w:id="13"/>
      <w:bookmarkEnd w:id="14"/>
      <w:bookmarkEnd w:id="42"/>
      <w:bookmarkEnd w:id="43"/>
      <w:bookmarkEnd w:id="44"/>
      <w:bookmarkEnd w:id="45"/>
      <w:bookmarkEnd w:id="46"/>
      <w:bookmarkEnd w:id="47"/>
      <w:bookmarkEnd w:id="48"/>
      <w:bookmarkEnd w:id="49"/>
      <w:bookmarkEnd w:id="50"/>
      <w:bookmarkEnd w:id="51"/>
    </w:tbl>
    <w:p>
      <w:pPr>
        <w:pStyle w:val="2"/>
        <w:spacing w:after="0"/>
        <w:ind w:firstLine="420" w:firstLineChars="200"/>
        <w:rPr>
          <w:color w:val="auto"/>
          <w:szCs w:val="21"/>
        </w:rPr>
      </w:pPr>
      <w:r>
        <w:rPr>
          <w:color w:val="auto"/>
        </w:rPr>
        <w:br w:type="page"/>
      </w:r>
    </w:p>
    <w:p>
      <w:pPr>
        <w:spacing w:line="360" w:lineRule="auto"/>
        <w:rPr>
          <w:b/>
          <w:color w:val="auto"/>
          <w:szCs w:val="21"/>
        </w:rPr>
      </w:pPr>
      <w:r>
        <w:rPr>
          <w:color w:val="auto"/>
          <w:sz w:val="24"/>
          <w:szCs w:val="21"/>
        </w:rPr>
        <w:t>具体评分标准如下：</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752"/>
        <w:gridCol w:w="909"/>
        <w:gridCol w:w="1110"/>
        <w:gridCol w:w="679"/>
        <w:gridCol w:w="1332"/>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391"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0"/>
              </w:rPr>
            </w:pPr>
            <w:r>
              <w:rPr>
                <w:color w:val="auto"/>
                <w:szCs w:val="21"/>
              </w:rPr>
              <w:t>评分因素与权重分值</w:t>
            </w:r>
          </w:p>
        </w:tc>
        <w:tc>
          <w:tcPr>
            <w:tcW w:w="537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blHeader/>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条款号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评分因素</w:t>
            </w:r>
          </w:p>
        </w:tc>
        <w:tc>
          <w:tcPr>
            <w:tcW w:w="92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评分因素权重分值</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shd w:val="clear" w:color="auto" w:fill="FFFFFF"/>
                <w:lang w:val="zh-CN" w:bidi="zh-CN"/>
              </w:rPr>
              <w:t>各评分因素细分项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分值</w:t>
            </w:r>
          </w:p>
        </w:tc>
        <w:tc>
          <w:tcPr>
            <w:tcW w:w="53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2.2.4（1）</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技术建议书（暗标部分）</w:t>
            </w:r>
          </w:p>
        </w:tc>
        <w:tc>
          <w:tcPr>
            <w:tcW w:w="920"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35分</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监理大纲和措施</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25分</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对本招标项目监理工作范围和任务理解</w:t>
            </w:r>
          </w:p>
          <w:p>
            <w:pPr>
              <w:jc w:val="center"/>
              <w:textAlignment w:val="baseline"/>
              <w:rPr>
                <w:color w:val="auto"/>
                <w:szCs w:val="21"/>
              </w:rPr>
            </w:pPr>
            <w:r>
              <w:rPr>
                <w:color w:val="auto"/>
                <w:szCs w:val="21"/>
              </w:rPr>
              <w:t>（7分）</w:t>
            </w:r>
          </w:p>
        </w:tc>
        <w:tc>
          <w:tcPr>
            <w:tcW w:w="4027" w:type="dxa"/>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理解准确，思路清晰，全面、合理，符合项目要求，得5.6-7.0分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4027" w:type="dxa"/>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理解较准确，思路较清晰，得4.</w:t>
            </w:r>
            <w:r>
              <w:rPr>
                <w:rFonts w:hint="eastAsia"/>
                <w:color w:val="auto"/>
                <w:szCs w:val="21"/>
              </w:rPr>
              <w:t>2</w:t>
            </w:r>
            <w:r>
              <w:rPr>
                <w:color w:val="auto"/>
                <w:szCs w:val="21"/>
              </w:rPr>
              <w:t>-5.6分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4027" w:type="dxa"/>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理解基本准确，得4.2分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350"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监理方案及措施</w:t>
            </w:r>
          </w:p>
          <w:p>
            <w:pPr>
              <w:jc w:val="center"/>
              <w:textAlignment w:val="baseline"/>
              <w:rPr>
                <w:color w:val="auto"/>
                <w:szCs w:val="21"/>
              </w:rPr>
            </w:pPr>
            <w:r>
              <w:rPr>
                <w:color w:val="auto"/>
                <w:szCs w:val="21"/>
              </w:rPr>
              <w:t>（10分）</w:t>
            </w:r>
          </w:p>
        </w:tc>
        <w:tc>
          <w:tcPr>
            <w:tcW w:w="4027" w:type="dxa"/>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方案详尽，措施具体全面合理，可行性强，得8.0-10.0分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4027" w:type="dxa"/>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方案较详尽，措施合理，可行性较好，得</w:t>
            </w:r>
            <w:r>
              <w:rPr>
                <w:rFonts w:hint="eastAsia"/>
                <w:color w:val="auto"/>
                <w:szCs w:val="21"/>
              </w:rPr>
              <w:t>6</w:t>
            </w:r>
            <w:r>
              <w:rPr>
                <w:color w:val="auto"/>
                <w:szCs w:val="21"/>
              </w:rPr>
              <w:t>.0-8.0分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4027" w:type="dxa"/>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方案一般，措施基本全面，可行性一般，得6.0分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350"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监理工</w:t>
            </w:r>
          </w:p>
          <w:p>
            <w:pPr>
              <w:jc w:val="center"/>
              <w:textAlignment w:val="baseline"/>
              <w:rPr>
                <w:color w:val="auto"/>
                <w:szCs w:val="21"/>
              </w:rPr>
            </w:pPr>
            <w:r>
              <w:rPr>
                <w:color w:val="auto"/>
                <w:szCs w:val="21"/>
              </w:rPr>
              <w:t>作程序</w:t>
            </w:r>
          </w:p>
          <w:p>
            <w:pPr>
              <w:jc w:val="center"/>
              <w:textAlignment w:val="baseline"/>
              <w:rPr>
                <w:color w:val="auto"/>
                <w:szCs w:val="21"/>
              </w:rPr>
            </w:pPr>
            <w:r>
              <w:rPr>
                <w:color w:val="auto"/>
                <w:szCs w:val="21"/>
              </w:rPr>
              <w:t>（8分）</w:t>
            </w:r>
          </w:p>
        </w:tc>
        <w:tc>
          <w:tcPr>
            <w:tcW w:w="4027" w:type="dxa"/>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内容齐全，阶段划分合理、正确，可实施性强，得6.4-8.0分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4027" w:type="dxa"/>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内容较齐全，阶段划分较合理，可实施性较好，得</w:t>
            </w:r>
            <w:r>
              <w:rPr>
                <w:rFonts w:hint="eastAsia"/>
                <w:color w:val="auto"/>
                <w:szCs w:val="21"/>
              </w:rPr>
              <w:t>4.8</w:t>
            </w:r>
            <w:r>
              <w:rPr>
                <w:color w:val="auto"/>
                <w:szCs w:val="21"/>
              </w:rPr>
              <w:t>-6.4分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4027" w:type="dxa"/>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内容基本齐全，阶段划分基本合理，可实施性一般，得4.8分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本工程监理工作的重点与难点分析</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5分</w:t>
            </w:r>
          </w:p>
        </w:tc>
        <w:tc>
          <w:tcPr>
            <w:tcW w:w="5377" w:type="dxa"/>
            <w:gridSpan w:val="2"/>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分析透彻，对难点、重点把握准确；处理措施科学合理，有效可行，得4.0-5.0分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5377" w:type="dxa"/>
            <w:gridSpan w:val="2"/>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分析较透彻，对难点、重点把握较准确；处理措施合理，可行，得3.</w:t>
            </w:r>
            <w:r>
              <w:rPr>
                <w:rFonts w:hint="eastAsia"/>
                <w:color w:val="auto"/>
                <w:szCs w:val="21"/>
              </w:rPr>
              <w:t>0</w:t>
            </w:r>
            <w:r>
              <w:rPr>
                <w:color w:val="auto"/>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5377" w:type="dxa"/>
            <w:gridSpan w:val="2"/>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分析一般，对难点、重点把握一般；处理措施基本合理，基本可行，得3.0分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对本工程的建议</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5分</w:t>
            </w:r>
          </w:p>
        </w:tc>
        <w:tc>
          <w:tcPr>
            <w:tcW w:w="5377" w:type="dxa"/>
            <w:gridSpan w:val="2"/>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建议措施具体全面、可靠、合理，可实施性强，4.0-5.0分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5377" w:type="dxa"/>
            <w:gridSpan w:val="2"/>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建议措施全面、合理，可实施性较好，得3.</w:t>
            </w:r>
            <w:r>
              <w:rPr>
                <w:rFonts w:hint="eastAsia"/>
                <w:color w:val="auto"/>
                <w:szCs w:val="21"/>
              </w:rPr>
              <w:t>0</w:t>
            </w:r>
            <w:r>
              <w:rPr>
                <w:color w:val="auto"/>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5377" w:type="dxa"/>
            <w:gridSpan w:val="2"/>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建议措施基本全面、合理，可实施性一般，得3.0分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2.2.4（2）</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主要人员（明标部分）</w:t>
            </w:r>
          </w:p>
        </w:tc>
        <w:tc>
          <w:tcPr>
            <w:tcW w:w="920"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30分</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rFonts w:hint="eastAsia"/>
                <w:color w:val="auto"/>
              </w:rPr>
              <w:t>监理总负责人</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18分</w:t>
            </w:r>
          </w:p>
        </w:tc>
        <w:tc>
          <w:tcPr>
            <w:tcW w:w="5377" w:type="dxa"/>
            <w:gridSpan w:val="2"/>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满足附录4资格审查条件（</w:t>
            </w:r>
            <w:r>
              <w:rPr>
                <w:rFonts w:hint="eastAsia"/>
                <w:color w:val="auto"/>
                <w:szCs w:val="21"/>
              </w:rPr>
              <w:t>监理总负责人</w:t>
            </w:r>
            <w:r>
              <w:rPr>
                <w:color w:val="auto"/>
                <w:szCs w:val="21"/>
              </w:rPr>
              <w:t>的最低要求）</w:t>
            </w:r>
            <w:r>
              <w:rPr>
                <w:rFonts w:hint="eastAsia"/>
                <w:color w:val="auto"/>
                <w:szCs w:val="21"/>
              </w:rPr>
              <w:t>监理总负责人</w:t>
            </w:r>
            <w:r>
              <w:rPr>
                <w:color w:val="auto"/>
                <w:szCs w:val="21"/>
              </w:rPr>
              <w:t>业绩的得18分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12分</w:t>
            </w:r>
          </w:p>
        </w:tc>
        <w:tc>
          <w:tcPr>
            <w:tcW w:w="5377" w:type="dxa"/>
            <w:gridSpan w:val="2"/>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每增加1项满足附录4资格审查条件（</w:t>
            </w:r>
            <w:r>
              <w:rPr>
                <w:rFonts w:hint="eastAsia"/>
                <w:color w:val="auto"/>
                <w:szCs w:val="21"/>
              </w:rPr>
              <w:t>监理总负责人</w:t>
            </w:r>
            <w:r>
              <w:rPr>
                <w:color w:val="auto"/>
                <w:szCs w:val="21"/>
              </w:rPr>
              <w:t>的最低要求）</w:t>
            </w:r>
            <w:r>
              <w:rPr>
                <w:rFonts w:hint="eastAsia"/>
                <w:color w:val="auto"/>
                <w:szCs w:val="21"/>
              </w:rPr>
              <w:t>监理总负责人</w:t>
            </w:r>
            <w:r>
              <w:rPr>
                <w:color w:val="auto"/>
                <w:szCs w:val="21"/>
              </w:rPr>
              <w:t>业绩加12分，最高加12分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2.2.4（3）</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评标价（明标部分）</w:t>
            </w:r>
          </w:p>
        </w:tc>
        <w:tc>
          <w:tcPr>
            <w:tcW w:w="92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10分</w:t>
            </w:r>
          </w:p>
        </w:tc>
        <w:tc>
          <w:tcPr>
            <w:tcW w:w="7187" w:type="dxa"/>
            <w:gridSpan w:val="4"/>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评标价得分计算公式示例：</w:t>
            </w:r>
          </w:p>
          <w:p>
            <w:pPr>
              <w:jc w:val="left"/>
              <w:textAlignment w:val="baseline"/>
              <w:rPr>
                <w:color w:val="auto"/>
                <w:szCs w:val="21"/>
              </w:rPr>
            </w:pPr>
            <w:r>
              <w:rPr>
                <w:color w:val="auto"/>
                <w:szCs w:val="21"/>
              </w:rPr>
              <w:t>（1）如果投标人的评标价＞评标基准价，则评标价得分=F-（投标人评标价-评标基准价）/评标基准价×100×E1；</w:t>
            </w:r>
          </w:p>
          <w:p>
            <w:pPr>
              <w:jc w:val="left"/>
              <w:textAlignment w:val="baseline"/>
              <w:rPr>
                <w:color w:val="auto"/>
                <w:szCs w:val="21"/>
              </w:rPr>
            </w:pPr>
            <w:r>
              <w:rPr>
                <w:color w:val="auto"/>
                <w:szCs w:val="21"/>
              </w:rPr>
              <w:t>（2）如果投标人的评标价≤评标基准价，则评标价得分=F+（投标人评标价-评标基准价）/评标基准价×100×E2。</w:t>
            </w:r>
          </w:p>
          <w:p>
            <w:pPr>
              <w:jc w:val="left"/>
              <w:textAlignment w:val="baseline"/>
              <w:rPr>
                <w:color w:val="auto"/>
                <w:szCs w:val="21"/>
              </w:rPr>
            </w:pPr>
            <w:r>
              <w:rPr>
                <w:color w:val="auto"/>
                <w:szCs w:val="21"/>
              </w:rPr>
              <w:t>其中，F=10；E1=0.2；E2=0.1；评标价最低得分为0分。</w:t>
            </w:r>
          </w:p>
          <w:p>
            <w:pPr>
              <w:pStyle w:val="2"/>
              <w:spacing w:after="0"/>
              <w:rPr>
                <w:color w:val="auto"/>
              </w:rPr>
            </w:pPr>
            <w:r>
              <w:rPr>
                <w:color w:val="auto"/>
                <w:szCs w:val="21"/>
              </w:rPr>
              <w:t>评标价得分保留2位小数，</w:t>
            </w:r>
            <w:r>
              <w:rPr>
                <w:color w:val="auto"/>
                <w:spacing w:val="-4"/>
                <w:szCs w:val="21"/>
              </w:rPr>
              <w:t>第三位四舍五入</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2.2.4（4）</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其他因素（明标部分）</w:t>
            </w:r>
          </w:p>
        </w:tc>
        <w:tc>
          <w:tcPr>
            <w:tcW w:w="920"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25分</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rPr>
              <w:t>企业业绩</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15分</w:t>
            </w:r>
          </w:p>
        </w:tc>
        <w:tc>
          <w:tcPr>
            <w:tcW w:w="5377" w:type="dxa"/>
            <w:gridSpan w:val="2"/>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满足附录2资格审查条件（业绩最低要求）的，得15分；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color w:val="auto"/>
                <w:szCs w:val="21"/>
              </w:rPr>
            </w:pPr>
            <w:r>
              <w:rPr>
                <w:color w:val="auto"/>
                <w:szCs w:val="21"/>
              </w:rPr>
              <w:t>10分</w:t>
            </w:r>
          </w:p>
        </w:tc>
        <w:tc>
          <w:tcPr>
            <w:tcW w:w="5377" w:type="dxa"/>
            <w:gridSpan w:val="2"/>
            <w:tcBorders>
              <w:top w:val="single" w:color="auto" w:sz="4" w:space="0"/>
              <w:left w:val="single" w:color="auto" w:sz="4" w:space="0"/>
              <w:bottom w:val="single" w:color="auto" w:sz="4" w:space="0"/>
              <w:right w:val="single" w:color="auto" w:sz="4" w:space="0"/>
            </w:tcBorders>
            <w:vAlign w:val="center"/>
          </w:tcPr>
          <w:p>
            <w:pPr>
              <w:jc w:val="left"/>
              <w:textAlignment w:val="baseline"/>
              <w:rPr>
                <w:color w:val="auto"/>
                <w:szCs w:val="21"/>
              </w:rPr>
            </w:pPr>
            <w:r>
              <w:rPr>
                <w:color w:val="auto"/>
                <w:szCs w:val="21"/>
              </w:rPr>
              <w:t>每增加1项满足附录2资格审查条件（业绩最低要求）的监理业绩加5分，本项最多加10分</w:t>
            </w:r>
            <w:r>
              <w:rPr>
                <w:rFonts w:hint="eastAsia"/>
                <w:color w:val="auto"/>
                <w:szCs w:val="21"/>
              </w:rPr>
              <w:t>。</w:t>
            </w:r>
          </w:p>
        </w:tc>
      </w:tr>
    </w:tbl>
    <w:p>
      <w:pPr>
        <w:spacing w:line="360" w:lineRule="auto"/>
        <w:ind w:firstLine="480" w:firstLineChars="200"/>
        <w:textAlignment w:val="baseline"/>
        <w:rPr>
          <w:color w:val="auto"/>
          <w:sz w:val="24"/>
        </w:rPr>
      </w:pPr>
      <w:r>
        <w:rPr>
          <w:color w:val="auto"/>
          <w:sz w:val="24"/>
        </w:rPr>
        <w:t>注：1. 第2.2.4（1）项各评委打分保留1位小数，投标人该项得分以各评委打分平均值计算所得，保留两位小数，第三位小数四舍五入。</w:t>
      </w:r>
    </w:p>
    <w:p>
      <w:pPr>
        <w:pStyle w:val="4"/>
        <w:spacing w:line="360" w:lineRule="auto"/>
        <w:ind w:firstLine="960" w:firstLineChars="400"/>
        <w:textAlignment w:val="baseline"/>
        <w:rPr>
          <w:rFonts w:ascii="Times New Roman"/>
          <w:color w:val="auto"/>
          <w:sz w:val="24"/>
          <w:szCs w:val="32"/>
        </w:rPr>
      </w:pPr>
      <w:r>
        <w:rPr>
          <w:rFonts w:ascii="Times New Roman"/>
          <w:color w:val="auto"/>
          <w:sz w:val="24"/>
          <w:szCs w:val="32"/>
        </w:rPr>
        <w:t>2. 第2.2.4（1）项评标委员会成员对某一项评分因素的评分低于权重分值60%的，应在评标报告中作出说明。评审因素缺项则该项得0分。</w:t>
      </w:r>
    </w:p>
    <w:p>
      <w:pPr>
        <w:widowControl/>
        <w:jc w:val="left"/>
        <w:rPr>
          <w:color w:val="auto"/>
          <w:sz w:val="24"/>
          <w:szCs w:val="32"/>
        </w:rPr>
      </w:pPr>
      <w:r>
        <w:rPr>
          <w:color w:val="auto"/>
          <w:sz w:val="24"/>
          <w:szCs w:val="32"/>
        </w:rPr>
        <w:br w:type="page"/>
      </w:r>
    </w:p>
    <w:p>
      <w:pPr>
        <w:pStyle w:val="2"/>
        <w:spacing w:line="360" w:lineRule="auto"/>
        <w:rPr>
          <w:b/>
          <w:bCs/>
          <w:snapToGrid w:val="0"/>
          <w:color w:val="auto"/>
          <w:kern w:val="0"/>
          <w:sz w:val="24"/>
        </w:rPr>
      </w:pPr>
      <w:r>
        <w:rPr>
          <w:b/>
          <w:bCs/>
          <w:snapToGrid w:val="0"/>
          <w:color w:val="auto"/>
          <w:kern w:val="0"/>
          <w:sz w:val="24"/>
        </w:rPr>
        <w:t>定标方法</w:t>
      </w:r>
    </w:p>
    <w:p>
      <w:pPr>
        <w:adjustRightInd w:val="0"/>
        <w:snapToGrid w:val="0"/>
        <w:spacing w:line="360" w:lineRule="auto"/>
        <w:jc w:val="center"/>
        <w:textAlignment w:val="baseline"/>
        <w:rPr>
          <w:b/>
          <w:bCs/>
          <w:snapToGrid w:val="0"/>
          <w:color w:val="auto"/>
          <w:kern w:val="0"/>
          <w:sz w:val="24"/>
        </w:rPr>
      </w:pPr>
      <w:r>
        <w:rPr>
          <w:b/>
          <w:bCs/>
          <w:snapToGrid w:val="0"/>
          <w:color w:val="auto"/>
          <w:kern w:val="0"/>
          <w:sz w:val="24"/>
        </w:rPr>
        <w:t>定标方法前附表</w:t>
      </w:r>
    </w:p>
    <w:p>
      <w:pPr>
        <w:rPr>
          <w:color w:val="auto"/>
        </w:rPr>
      </w:pP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842"/>
        <w:gridCol w:w="1690"/>
        <w:gridCol w:w="1"/>
        <w:gridCol w:w="5765"/>
        <w:gridCol w:w="1"/>
        <w:gridCol w:w="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441" w:hRule="atLeast"/>
          <w:jc w:val="center"/>
        </w:trPr>
        <w:tc>
          <w:tcPr>
            <w:tcW w:w="1798" w:type="pct"/>
            <w:gridSpan w:val="4"/>
            <w:vAlign w:val="center"/>
          </w:tcPr>
          <w:p>
            <w:pPr>
              <w:snapToGrid w:val="0"/>
              <w:jc w:val="center"/>
              <w:rPr>
                <w:color w:val="auto"/>
                <w:szCs w:val="21"/>
              </w:rPr>
            </w:pPr>
            <w:r>
              <w:rPr>
                <w:color w:val="auto"/>
                <w:szCs w:val="21"/>
              </w:rPr>
              <w:t>条款号</w:t>
            </w:r>
          </w:p>
        </w:tc>
        <w:tc>
          <w:tcPr>
            <w:tcW w:w="3178" w:type="pct"/>
            <w:gridSpan w:val="2"/>
            <w:vAlign w:val="center"/>
          </w:tcPr>
          <w:p>
            <w:pPr>
              <w:snapToGrid w:val="0"/>
              <w:jc w:val="center"/>
              <w:rPr>
                <w:color w:val="auto"/>
                <w:szCs w:val="21"/>
              </w:rPr>
            </w:pPr>
            <w:r>
              <w:rPr>
                <w:color w:val="auto"/>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2" w:type="pct"/>
          <w:jc w:val="center"/>
        </w:trPr>
        <w:tc>
          <w:tcPr>
            <w:tcW w:w="402" w:type="pct"/>
            <w:vAlign w:val="center"/>
          </w:tcPr>
          <w:p>
            <w:pPr>
              <w:snapToGrid w:val="0"/>
              <w:jc w:val="center"/>
              <w:rPr>
                <w:color w:val="auto"/>
                <w:szCs w:val="21"/>
              </w:rPr>
            </w:pPr>
            <w:r>
              <w:rPr>
                <w:color w:val="auto"/>
                <w:szCs w:val="21"/>
              </w:rPr>
              <w:t>4.2</w:t>
            </w:r>
          </w:p>
        </w:tc>
        <w:tc>
          <w:tcPr>
            <w:tcW w:w="1396" w:type="pct"/>
            <w:gridSpan w:val="2"/>
            <w:vAlign w:val="center"/>
          </w:tcPr>
          <w:p>
            <w:pPr>
              <w:snapToGrid w:val="0"/>
              <w:jc w:val="center"/>
              <w:rPr>
                <w:color w:val="auto"/>
                <w:szCs w:val="21"/>
              </w:rPr>
            </w:pPr>
            <w:r>
              <w:rPr>
                <w:color w:val="auto"/>
                <w:szCs w:val="21"/>
              </w:rPr>
              <w:t>定标方法</w:t>
            </w:r>
          </w:p>
        </w:tc>
        <w:tc>
          <w:tcPr>
            <w:tcW w:w="3178" w:type="pct"/>
            <w:gridSpan w:val="2"/>
            <w:vAlign w:val="center"/>
          </w:tcPr>
          <w:p>
            <w:pPr>
              <w:snapToGrid w:val="0"/>
              <w:jc w:val="left"/>
              <w:rPr>
                <w:color w:val="auto"/>
                <w:szCs w:val="21"/>
              </w:rPr>
            </w:pPr>
            <w:r>
              <w:rPr>
                <w:color w:val="auto"/>
                <w:szCs w:val="21"/>
              </w:rPr>
              <w:t>本次定标采用票决法。</w:t>
            </w:r>
          </w:p>
          <w:p>
            <w:pPr>
              <w:snapToGrid w:val="0"/>
              <w:jc w:val="left"/>
              <w:rPr>
                <w:rFonts w:hint="eastAsia" w:ascii="宋体" w:hAnsi="宋体" w:cs="宋体"/>
                <w:color w:val="auto"/>
                <w:szCs w:val="21"/>
              </w:rPr>
            </w:pPr>
            <w:r>
              <w:rPr>
                <w:rFonts w:hint="eastAsia" w:ascii="宋体" w:hAnsi="宋体" w:cs="宋体"/>
                <w:color w:val="auto"/>
                <w:szCs w:val="21"/>
              </w:rPr>
              <w:t>票决法：定标委员会成员根据定标因素对各中标候选人进行比较后，遵循择优的原则进行票决。票决采取投票计分法，即各定标委员会成员对所有中标候选人进行打分，最优的中标候选人得N分，其次的中标候选人得N-1分，以此类推（N为评标委员会推荐的中标候选人数量），定标委员会根据总分从高到低排名确定中标候选人的定标排序。</w:t>
            </w:r>
          </w:p>
          <w:p>
            <w:pPr>
              <w:snapToGrid w:val="0"/>
              <w:jc w:val="left"/>
              <w:rPr>
                <w:rFonts w:hint="eastAsia" w:ascii="宋体" w:hAnsi="宋体" w:cs="宋体"/>
                <w:color w:val="auto"/>
                <w:szCs w:val="21"/>
              </w:rPr>
            </w:pPr>
            <w:r>
              <w:rPr>
                <w:rFonts w:hint="eastAsia" w:ascii="宋体" w:hAnsi="宋体" w:cs="宋体"/>
                <w:color w:val="auto"/>
                <w:szCs w:val="21"/>
              </w:rPr>
              <w:t>总分得分相同的，由定标委员会对得分相同的中标候选人进行再次票决确定排名。</w:t>
            </w:r>
          </w:p>
          <w:p>
            <w:pPr>
              <w:snapToGrid w:val="0"/>
              <w:jc w:val="left"/>
              <w:rPr>
                <w:color w:val="auto"/>
                <w:szCs w:val="21"/>
              </w:rPr>
            </w:pPr>
            <w:r>
              <w:rPr>
                <w:rFonts w:hint="eastAsia" w:ascii="宋体" w:hAnsi="宋体" w:cs="宋体"/>
                <w:color w:val="auto"/>
                <w:szCs w:val="21"/>
              </w:rPr>
              <w:t>定标委员会确定定标排序第一名的中标候选人为中标人。</w:t>
            </w:r>
          </w:p>
          <w:p>
            <w:pPr>
              <w:snapToGrid w:val="0"/>
              <w:jc w:val="left"/>
              <w:rPr>
                <w:color w:val="auto"/>
                <w:szCs w:val="21"/>
              </w:rPr>
            </w:pPr>
            <w:r>
              <w:rPr>
                <w:rFonts w:hint="eastAsia"/>
                <w:color w:val="auto"/>
                <w:szCs w:val="21"/>
              </w:rPr>
              <w:t>注：已被确定为本项目设计施工总承包的中标人，和与其单位负责人为同一人或存在控股、管理关系的不同单位，不得被确定为本项目施工监理的中标人。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2" w:type="pct"/>
          <w:trHeight w:val="1135" w:hRule="atLeast"/>
          <w:jc w:val="center"/>
        </w:trPr>
        <w:tc>
          <w:tcPr>
            <w:tcW w:w="402" w:type="pct"/>
            <w:vAlign w:val="center"/>
          </w:tcPr>
          <w:p>
            <w:pPr>
              <w:snapToGrid w:val="0"/>
              <w:jc w:val="center"/>
              <w:rPr>
                <w:color w:val="auto"/>
                <w:szCs w:val="21"/>
              </w:rPr>
            </w:pPr>
            <w:r>
              <w:rPr>
                <w:color w:val="auto"/>
                <w:szCs w:val="21"/>
              </w:rPr>
              <w:t>4.3</w:t>
            </w:r>
          </w:p>
        </w:tc>
        <w:tc>
          <w:tcPr>
            <w:tcW w:w="1396" w:type="pct"/>
            <w:gridSpan w:val="2"/>
            <w:vAlign w:val="center"/>
          </w:tcPr>
          <w:p>
            <w:pPr>
              <w:snapToGrid w:val="0"/>
              <w:jc w:val="center"/>
              <w:rPr>
                <w:color w:val="auto"/>
                <w:szCs w:val="21"/>
              </w:rPr>
            </w:pPr>
            <w:r>
              <w:rPr>
                <w:color w:val="auto"/>
                <w:szCs w:val="21"/>
              </w:rPr>
              <w:t>定标因素</w:t>
            </w:r>
          </w:p>
        </w:tc>
        <w:tc>
          <w:tcPr>
            <w:tcW w:w="3178" w:type="pct"/>
            <w:gridSpan w:val="2"/>
            <w:vAlign w:val="center"/>
          </w:tcPr>
          <w:p>
            <w:pPr>
              <w:pStyle w:val="2"/>
              <w:widowControl/>
              <w:kinsoku w:val="0"/>
              <w:autoSpaceDE w:val="0"/>
              <w:autoSpaceDN w:val="0"/>
              <w:adjustRightInd w:val="0"/>
              <w:snapToGrid w:val="0"/>
              <w:spacing w:after="0"/>
              <w:jc w:val="left"/>
              <w:textAlignment w:val="baseline"/>
              <w:rPr>
                <w:color w:val="auto"/>
                <w:szCs w:val="21"/>
              </w:rPr>
            </w:pPr>
            <w:r>
              <w:rPr>
                <w:rFonts w:hint="eastAsia" w:ascii="宋体" w:hAnsi="宋体" w:cs="宋体"/>
                <w:color w:val="auto"/>
                <w:szCs w:val="21"/>
              </w:rPr>
              <w:t>招标人根据项目概况和自身实际需求确定定标因素，包括但不限于价格因素、投标方案、企业实力、企业信誉、拟派团队能力与水平等；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02" w:type="pct"/>
            <w:vMerge w:val="restart"/>
            <w:vAlign w:val="center"/>
          </w:tcPr>
          <w:p>
            <w:pPr>
              <w:snapToGrid w:val="0"/>
              <w:jc w:val="center"/>
              <w:rPr>
                <w:color w:val="auto"/>
                <w:szCs w:val="21"/>
              </w:rPr>
            </w:pPr>
            <w:r>
              <w:rPr>
                <w:color w:val="auto"/>
                <w:szCs w:val="21"/>
              </w:rPr>
              <w:t>4.4</w:t>
            </w:r>
          </w:p>
        </w:tc>
        <w:tc>
          <w:tcPr>
            <w:tcW w:w="464" w:type="pct"/>
            <w:vMerge w:val="restart"/>
            <w:vAlign w:val="center"/>
          </w:tcPr>
          <w:p>
            <w:pPr>
              <w:pStyle w:val="13"/>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定标</w:t>
            </w:r>
          </w:p>
          <w:p>
            <w:pPr>
              <w:pStyle w:val="13"/>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程序</w:t>
            </w:r>
          </w:p>
        </w:tc>
        <w:tc>
          <w:tcPr>
            <w:tcW w:w="931" w:type="pct"/>
            <w:gridSpan w:val="2"/>
            <w:vAlign w:val="center"/>
          </w:tcPr>
          <w:p>
            <w:pPr>
              <w:pStyle w:val="13"/>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4.4.1</w:t>
            </w:r>
            <w:r>
              <w:rPr>
                <w:rFonts w:ascii="Times New Roman" w:hAnsi="Times New Roman" w:cs="Times New Roman"/>
                <w:color w:val="auto"/>
                <w:sz w:val="21"/>
                <w:szCs w:val="21"/>
              </w:rPr>
              <w:t>定标委员会组成</w:t>
            </w:r>
          </w:p>
        </w:tc>
        <w:tc>
          <w:tcPr>
            <w:tcW w:w="3201" w:type="pct"/>
            <w:gridSpan w:val="3"/>
            <w:vAlign w:val="center"/>
          </w:tcPr>
          <w:p>
            <w:pPr>
              <w:pStyle w:val="13"/>
              <w:snapToGrid w:val="0"/>
              <w:jc w:val="both"/>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定标委员会由招标人组建，人数为5人。定标委员会应当在定标会上推举定标委员会主任。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02" w:type="pct"/>
            <w:vMerge w:val="continue"/>
            <w:vAlign w:val="center"/>
          </w:tcPr>
          <w:p>
            <w:pPr>
              <w:snapToGrid w:val="0"/>
              <w:jc w:val="center"/>
              <w:rPr>
                <w:color w:val="auto"/>
                <w:szCs w:val="21"/>
              </w:rPr>
            </w:pPr>
          </w:p>
        </w:tc>
        <w:tc>
          <w:tcPr>
            <w:tcW w:w="464" w:type="pct"/>
            <w:vMerge w:val="continue"/>
            <w:vAlign w:val="center"/>
          </w:tcPr>
          <w:p>
            <w:pPr>
              <w:pStyle w:val="13"/>
              <w:snapToGrid w:val="0"/>
              <w:ind w:firstLine="420" w:firstLineChars="200"/>
              <w:jc w:val="center"/>
              <w:rPr>
                <w:rFonts w:ascii="Times New Roman" w:hAnsi="Times New Roman" w:cs="Times New Roman"/>
                <w:color w:val="auto"/>
                <w:sz w:val="21"/>
                <w:szCs w:val="21"/>
                <w:lang w:val="en-US"/>
              </w:rPr>
            </w:pPr>
          </w:p>
        </w:tc>
        <w:tc>
          <w:tcPr>
            <w:tcW w:w="931" w:type="pct"/>
            <w:gridSpan w:val="2"/>
            <w:vAlign w:val="center"/>
          </w:tcPr>
          <w:p>
            <w:pPr>
              <w:pStyle w:val="13"/>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4.4.2确定中标人</w:t>
            </w:r>
          </w:p>
        </w:tc>
        <w:tc>
          <w:tcPr>
            <w:tcW w:w="3201" w:type="pct"/>
            <w:gridSpan w:val="3"/>
            <w:vAlign w:val="center"/>
          </w:tcPr>
          <w:p>
            <w:pPr>
              <w:pStyle w:val="13"/>
              <w:snapToGrid w:val="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定标委员会通过直接票决法确定得票数最高的中标候选人为中标人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YxNTJjZmI2NmVkYTMyOWVjMGFiZjEzZGM5NjgifQ=="/>
  </w:docVars>
  <w:rsids>
    <w:rsidRoot w:val="64C45EAC"/>
    <w:rsid w:val="144F7481"/>
    <w:rsid w:val="3F2A5D03"/>
    <w:rsid w:val="64C4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0"/>
    <w:pPr>
      <w:snapToGrid w:val="0"/>
      <w:spacing w:line="360" w:lineRule="auto"/>
      <w:ind w:firstLine="480" w:firstLineChars="200"/>
    </w:pPr>
    <w:rPr>
      <w:rFonts w:cs="宋体"/>
      <w:sz w:val="24"/>
    </w:rPr>
  </w:style>
  <w:style w:type="paragraph" w:styleId="4">
    <w:name w:val="Plain Text"/>
    <w:basedOn w:val="1"/>
    <w:qFormat/>
    <w:uiPriority w:val="0"/>
    <w:rPr>
      <w:rFonts w:ascii="宋体"/>
      <w:szCs w:val="21"/>
    </w:rPr>
  </w:style>
  <w:style w:type="character" w:styleId="7">
    <w:name w:val="Strong"/>
    <w:qFormat/>
    <w:uiPriority w:val="0"/>
    <w:rPr>
      <w:b/>
      <w:bCs/>
    </w:rPr>
  </w:style>
  <w:style w:type="character" w:styleId="8">
    <w:name w:val="Hyperlink"/>
    <w:qFormat/>
    <w:uiPriority w:val="99"/>
    <w:rPr>
      <w:color w:val="333333"/>
      <w:u w:val="none"/>
    </w:rPr>
  </w:style>
  <w:style w:type="paragraph" w:customStyle="1" w:styleId="9">
    <w:name w:val="1正文"/>
    <w:basedOn w:val="1"/>
    <w:qFormat/>
    <w:uiPriority w:val="0"/>
    <w:pPr>
      <w:spacing w:line="360" w:lineRule="auto"/>
      <w:ind w:firstLine="480" w:firstLineChars="200"/>
    </w:pPr>
    <w:rPr>
      <w:snapToGrid w:val="0"/>
      <w:sz w:val="24"/>
      <w:szCs w:val="32"/>
    </w:rPr>
  </w:style>
  <w:style w:type="character" w:customStyle="1" w:styleId="10">
    <w:name w:val="NormalCharacter"/>
    <w:link w:val="11"/>
    <w:qFormat/>
    <w:uiPriority w:val="0"/>
    <w:rPr>
      <w:kern w:val="0"/>
      <w:sz w:val="20"/>
      <w:szCs w:val="20"/>
    </w:rPr>
  </w:style>
  <w:style w:type="paragraph" w:customStyle="1" w:styleId="11">
    <w:name w:val="UserStyle_24"/>
    <w:basedOn w:val="1"/>
    <w:link w:val="10"/>
    <w:qFormat/>
    <w:uiPriority w:val="0"/>
    <w:pPr>
      <w:widowControl/>
      <w:spacing w:line="360" w:lineRule="auto"/>
      <w:ind w:firstLine="200" w:firstLineChars="200"/>
      <w:jc w:val="left"/>
    </w:pPr>
    <w:rPr>
      <w:kern w:val="0"/>
      <w:sz w:val="20"/>
      <w:szCs w:val="20"/>
    </w:rPr>
  </w:style>
  <w:style w:type="paragraph" w:customStyle="1" w:styleId="12">
    <w:name w:val="UserStyle_340"/>
    <w:basedOn w:val="1"/>
    <w:qFormat/>
    <w:uiPriority w:val="0"/>
    <w:pPr>
      <w:widowControl/>
      <w:spacing w:line="340" w:lineRule="exact"/>
      <w:jc w:val="left"/>
    </w:pPr>
    <w:rPr>
      <w:bCs/>
      <w:kern w:val="0"/>
      <w:sz w:val="24"/>
    </w:rPr>
  </w:style>
  <w:style w:type="paragraph" w:customStyle="1" w:styleId="13">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2024-10-09T06:28:00Z</dcterms:created>
  <dc:creator>宿子轩</dc:creator>
  <cp:lastModifiedBy>李娜</cp:lastModifiedBy>
  <dcterms:modified xsi:type="dcterms:W3CDTF">2024-10-09T06:47:28Z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1347F8E3CEE5410A9C82D3654FF29102_11</vt:lpwstr>
  </property>
</Properties>
</file>