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line="480" w:lineRule="exact"/>
        <w:ind w:firstLine="240"/>
        <w:rPr>
          <w:rFonts w:hint="eastAsia" w:ascii="宋体" w:hAnsi="宋体"/>
          <w:b/>
          <w:sz w:val="24"/>
        </w:rPr>
      </w:pPr>
      <w:r>
        <w:rPr>
          <w:rFonts w:hint="eastAsia" w:ascii="宋体" w:hAnsi="宋体"/>
          <w:b/>
          <w:sz w:val="24"/>
        </w:rPr>
        <w:t>附件</w:t>
      </w:r>
      <w:r>
        <w:rPr>
          <w:rFonts w:ascii="宋体" w:hAnsi="宋体"/>
          <w:b/>
          <w:sz w:val="24"/>
        </w:rPr>
        <w:t>1</w:t>
      </w:r>
      <w:r>
        <w:rPr>
          <w:rFonts w:hint="eastAsia" w:ascii="宋体" w:hAnsi="宋体"/>
          <w:b/>
          <w:sz w:val="24"/>
        </w:rPr>
        <w:t>：资格审查条件</w:t>
      </w:r>
    </w:p>
    <w:p>
      <w:pPr>
        <w:adjustRightInd w:val="0"/>
        <w:spacing w:line="480" w:lineRule="exact"/>
        <w:ind w:firstLine="241"/>
        <w:jc w:val="center"/>
        <w:rPr>
          <w:rFonts w:hint="eastAsia" w:ascii="宋体" w:hAnsi="宋体"/>
          <w:b/>
          <w:sz w:val="24"/>
          <w:szCs w:val="24"/>
        </w:rPr>
      </w:pPr>
      <w:r>
        <w:rPr>
          <w:rFonts w:hint="eastAsia" w:ascii="宋体" w:hAnsi="宋体"/>
          <w:b/>
          <w:sz w:val="24"/>
          <w:szCs w:val="24"/>
        </w:rPr>
        <w:t xml:space="preserve">附录1 </w:t>
      </w:r>
      <w:r>
        <w:rPr>
          <w:rFonts w:hint="eastAsia" w:ascii="宋体" w:hAnsi="宋体"/>
          <w:b/>
          <w:sz w:val="24"/>
        </w:rPr>
        <w:t>资格</w:t>
      </w:r>
      <w:r>
        <w:rPr>
          <w:rFonts w:hint="eastAsia" w:ascii="宋体" w:hAnsi="宋体"/>
          <w:b/>
          <w:sz w:val="24"/>
          <w:szCs w:val="24"/>
        </w:rPr>
        <w:t>审查条件（资质最低条件）</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628" w:type="dxa"/>
            <w:vAlign w:val="center"/>
          </w:tcPr>
          <w:p>
            <w:pPr>
              <w:pStyle w:val="6"/>
              <w:spacing w:before="0" w:beforeAutospacing="0" w:after="0" w:afterAutospacing="0" w:line="480" w:lineRule="exact"/>
              <w:ind w:firstLine="240"/>
              <w:contextualSpacing/>
              <w:jc w:val="center"/>
              <w:rPr>
                <w:rFonts w:hint="eastAsia" w:cs="宋体"/>
              </w:rPr>
            </w:pPr>
            <w:r>
              <w:rPr>
                <w:rFonts w:hint="eastAsia" w:cs="宋体"/>
              </w:rPr>
              <w:t>企业资质等级要求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9628" w:type="dxa"/>
            <w:vAlign w:val="center"/>
          </w:tcPr>
          <w:p>
            <w:pPr>
              <w:spacing w:line="480" w:lineRule="exact"/>
              <w:ind w:left="-62" w:leftChars="-22" w:firstLine="240"/>
              <w:rPr>
                <w:rFonts w:hint="eastAsia" w:ascii="宋体" w:hAnsi="宋体"/>
                <w:sz w:val="24"/>
                <w:szCs w:val="24"/>
              </w:rPr>
            </w:pPr>
            <w:r>
              <w:rPr>
                <w:rFonts w:hint="eastAsia" w:ascii="宋体" w:hAnsi="宋体"/>
                <w:sz w:val="24"/>
                <w:szCs w:val="24"/>
              </w:rPr>
              <w:t>1、具有独立法人资格，持有有效的营业执照或事业单位法人证书。</w:t>
            </w:r>
          </w:p>
          <w:p>
            <w:pPr>
              <w:spacing w:line="480" w:lineRule="exact"/>
              <w:ind w:left="-62" w:leftChars="-22" w:firstLine="240"/>
              <w:rPr>
                <w:rFonts w:hint="eastAsia" w:ascii="宋体" w:hAnsi="宋体"/>
                <w:sz w:val="24"/>
                <w:szCs w:val="24"/>
              </w:rPr>
            </w:pPr>
            <w:r>
              <w:rPr>
                <w:rFonts w:hint="eastAsia" w:ascii="宋体" w:hAnsi="宋体"/>
                <w:sz w:val="24"/>
                <w:szCs w:val="24"/>
              </w:rPr>
              <w:t>2、</w:t>
            </w:r>
            <w:bookmarkStart w:id="0" w:name="_Hlk175583468"/>
            <w:r>
              <w:rPr>
                <w:rFonts w:hint="eastAsia" w:ascii="宋体" w:hAnsi="宋体"/>
                <w:sz w:val="24"/>
                <w:szCs w:val="24"/>
              </w:rPr>
              <w:t>具备</w:t>
            </w:r>
            <w:bookmarkEnd w:id="0"/>
            <w:r>
              <w:rPr>
                <w:rFonts w:hint="eastAsia" w:ascii="宋体" w:hAnsi="宋体"/>
                <w:sz w:val="24"/>
                <w:szCs w:val="24"/>
              </w:rPr>
              <w:t>省级及以上财政部门颁发的资产评估资格证(或省级及以上财政部门备案函)。</w:t>
            </w:r>
          </w:p>
        </w:tc>
      </w:tr>
    </w:tbl>
    <w:p>
      <w:pPr>
        <w:adjustRightInd w:val="0"/>
        <w:spacing w:line="480" w:lineRule="exact"/>
        <w:ind w:firstLine="241"/>
        <w:jc w:val="center"/>
        <w:rPr>
          <w:rFonts w:hint="eastAsia" w:ascii="宋体" w:hAnsi="宋体"/>
          <w:b/>
          <w:sz w:val="24"/>
          <w:szCs w:val="24"/>
        </w:rPr>
      </w:pPr>
      <w:r>
        <w:rPr>
          <w:rFonts w:hint="eastAsia" w:ascii="宋体" w:hAnsi="宋体"/>
          <w:b/>
          <w:sz w:val="24"/>
          <w:szCs w:val="24"/>
        </w:rPr>
        <w:t>附录2 资格审查条件（业绩最低条件）</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628" w:type="dxa"/>
            <w:vAlign w:val="center"/>
          </w:tcPr>
          <w:p>
            <w:pPr>
              <w:pStyle w:val="6"/>
              <w:spacing w:before="0" w:beforeAutospacing="0" w:after="0" w:afterAutospacing="0" w:line="480" w:lineRule="exact"/>
              <w:ind w:firstLine="240"/>
              <w:contextualSpacing/>
              <w:jc w:val="center"/>
              <w:rPr>
                <w:rFonts w:hint="eastAsia" w:cs="宋体"/>
              </w:rPr>
            </w:pPr>
            <w:r>
              <w:rPr>
                <w:rFonts w:hint="eastAsia" w:cs="宋体"/>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9628" w:type="dxa"/>
            <w:vAlign w:val="center"/>
          </w:tcPr>
          <w:p>
            <w:pPr>
              <w:pStyle w:val="4"/>
              <w:spacing w:line="480" w:lineRule="exact"/>
              <w:ind w:firstLine="240"/>
              <w:rPr>
                <w:rFonts w:hint="eastAsia" w:ascii="宋体" w:hAnsi="宋体"/>
                <w:sz w:val="24"/>
                <w:szCs w:val="24"/>
              </w:rPr>
            </w:pPr>
            <w:r>
              <w:rPr>
                <w:rFonts w:hint="eastAsia" w:ascii="宋体" w:hAnsi="宋体"/>
                <w:sz w:val="24"/>
                <w:szCs w:val="24"/>
              </w:rPr>
              <w:t>近5年内（2019年10月1日至今，以合同签订时间为准），至少承担过1项高速公路地上物评估工作业绩。</w:t>
            </w:r>
          </w:p>
        </w:tc>
      </w:tr>
    </w:tbl>
    <w:p>
      <w:pPr>
        <w:adjustRightInd w:val="0"/>
        <w:spacing w:line="480" w:lineRule="exact"/>
        <w:ind w:firstLine="241"/>
        <w:jc w:val="center"/>
        <w:rPr>
          <w:rFonts w:hint="eastAsia" w:ascii="宋体" w:hAnsi="宋体"/>
          <w:b/>
          <w:sz w:val="24"/>
          <w:szCs w:val="24"/>
        </w:rPr>
      </w:pPr>
      <w:r>
        <w:rPr>
          <w:rFonts w:hint="eastAsia" w:ascii="宋体" w:hAnsi="宋体"/>
          <w:b/>
          <w:sz w:val="24"/>
          <w:szCs w:val="24"/>
        </w:rPr>
        <w:t>附录3 资格审查条件（信誉最低要求）</w:t>
      </w:r>
    </w:p>
    <w:tbl>
      <w:tblPr>
        <w:tblStyle w:val="7"/>
        <w:tblW w:w="9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580" w:type="dxa"/>
            <w:vAlign w:val="center"/>
          </w:tcPr>
          <w:p>
            <w:pPr>
              <w:pStyle w:val="6"/>
              <w:spacing w:before="0" w:beforeAutospacing="0" w:after="0" w:afterAutospacing="0" w:line="480" w:lineRule="exact"/>
              <w:ind w:firstLine="240"/>
              <w:contextualSpacing/>
              <w:jc w:val="center"/>
              <w:rPr>
                <w:rFonts w:hint="eastAsia" w:cs="宋体"/>
              </w:rPr>
            </w:pPr>
            <w:bookmarkStart w:id="18" w:name="_GoBack"/>
            <w:r>
              <w:rPr>
                <w:rFonts w:hint="eastAsia" w:cs="宋体"/>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9580" w:type="dxa"/>
            <w:vAlign w:val="center"/>
          </w:tcPr>
          <w:p>
            <w:pPr>
              <w:spacing w:line="480" w:lineRule="exact"/>
              <w:ind w:firstLine="240"/>
              <w:rPr>
                <w:rFonts w:hint="eastAsia" w:ascii="宋体" w:hAnsi="宋体"/>
              </w:rPr>
            </w:pPr>
            <w:r>
              <w:rPr>
                <w:rFonts w:hint="eastAsia"/>
                <w:sz w:val="24"/>
              </w:rPr>
              <w:t>投标人在近1年内（2023年10月1日至今）不曾在高速公路</w:t>
            </w:r>
            <w:r>
              <w:rPr>
                <w:rFonts w:hint="eastAsia" w:ascii="宋体" w:hAnsi="宋体"/>
                <w:sz w:val="24"/>
                <w:szCs w:val="24"/>
              </w:rPr>
              <w:t>地上物评估</w:t>
            </w:r>
            <w:r>
              <w:rPr>
                <w:rFonts w:hint="eastAsia"/>
                <w:sz w:val="24"/>
              </w:rPr>
              <w:t>项目合同中违约被驱逐或因投标人自身的原因而使合同被解除。</w:t>
            </w:r>
          </w:p>
        </w:tc>
      </w:tr>
      <w:bookmarkEnd w:id="18"/>
    </w:tbl>
    <w:p>
      <w:pPr>
        <w:adjustRightInd w:val="0"/>
        <w:spacing w:line="480" w:lineRule="exact"/>
        <w:ind w:firstLine="241"/>
        <w:jc w:val="center"/>
        <w:rPr>
          <w:rFonts w:hint="eastAsia" w:ascii="宋体" w:hAnsi="宋体"/>
          <w:b/>
          <w:sz w:val="24"/>
          <w:szCs w:val="24"/>
        </w:rPr>
      </w:pPr>
      <w:r>
        <w:rPr>
          <w:rFonts w:hint="eastAsia" w:ascii="宋体" w:hAnsi="宋体"/>
          <w:b/>
          <w:sz w:val="24"/>
          <w:szCs w:val="24"/>
        </w:rPr>
        <w:t xml:space="preserve">附录4 资格审查条件（项目负责人最低要求） </w:t>
      </w:r>
    </w:p>
    <w:tbl>
      <w:tblPr>
        <w:tblStyle w:val="7"/>
        <w:tblW w:w="95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2"/>
        <w:gridCol w:w="850"/>
        <w:gridCol w:w="7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1072" w:type="dxa"/>
            <w:vAlign w:val="center"/>
          </w:tcPr>
          <w:p>
            <w:pPr>
              <w:spacing w:line="480" w:lineRule="exact"/>
              <w:rPr>
                <w:rFonts w:hint="eastAsia" w:ascii="宋体" w:hAnsi="宋体"/>
                <w:sz w:val="24"/>
                <w:szCs w:val="24"/>
              </w:rPr>
            </w:pPr>
            <w:r>
              <w:rPr>
                <w:rFonts w:hint="eastAsia" w:ascii="宋体" w:hAnsi="宋体"/>
                <w:sz w:val="24"/>
                <w:szCs w:val="24"/>
              </w:rPr>
              <w:t>人   员</w:t>
            </w:r>
          </w:p>
        </w:tc>
        <w:tc>
          <w:tcPr>
            <w:tcW w:w="850" w:type="dxa"/>
            <w:vAlign w:val="center"/>
          </w:tcPr>
          <w:p>
            <w:pPr>
              <w:spacing w:line="480" w:lineRule="exact"/>
              <w:jc w:val="center"/>
              <w:rPr>
                <w:rFonts w:hint="eastAsia" w:ascii="宋体" w:hAnsi="宋体"/>
                <w:sz w:val="24"/>
                <w:szCs w:val="24"/>
              </w:rPr>
            </w:pPr>
            <w:r>
              <w:rPr>
                <w:rFonts w:hint="eastAsia" w:ascii="宋体" w:hAnsi="宋体"/>
                <w:sz w:val="24"/>
                <w:szCs w:val="24"/>
              </w:rPr>
              <w:t>数量</w:t>
            </w:r>
          </w:p>
        </w:tc>
        <w:tc>
          <w:tcPr>
            <w:tcW w:w="7626" w:type="dxa"/>
            <w:vAlign w:val="center"/>
          </w:tcPr>
          <w:p>
            <w:pPr>
              <w:spacing w:line="480" w:lineRule="exact"/>
              <w:ind w:firstLine="240"/>
              <w:jc w:val="center"/>
              <w:rPr>
                <w:rFonts w:hint="eastAsia" w:ascii="宋体" w:hAnsi="宋体"/>
                <w:sz w:val="24"/>
                <w:szCs w:val="24"/>
              </w:rPr>
            </w:pPr>
            <w:r>
              <w:rPr>
                <w:rFonts w:hint="eastAsia" w:ascii="宋体" w:hAnsi="宋体"/>
                <w:sz w:val="24"/>
                <w:szCs w:val="24"/>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1072" w:type="dxa"/>
            <w:vAlign w:val="center"/>
          </w:tcPr>
          <w:p>
            <w:pPr>
              <w:spacing w:line="480" w:lineRule="exact"/>
              <w:jc w:val="center"/>
              <w:rPr>
                <w:rFonts w:hint="eastAsia" w:ascii="宋体" w:hAnsi="宋体"/>
                <w:sz w:val="24"/>
                <w:szCs w:val="24"/>
              </w:rPr>
            </w:pPr>
            <w:bookmarkStart w:id="1" w:name="_Hlk175584432"/>
            <w:r>
              <w:rPr>
                <w:rFonts w:hint="eastAsia" w:ascii="宋体" w:hAnsi="宋体"/>
                <w:sz w:val="24"/>
                <w:szCs w:val="24"/>
              </w:rPr>
              <w:t>项目</w:t>
            </w:r>
          </w:p>
          <w:p>
            <w:pPr>
              <w:spacing w:line="480" w:lineRule="exact"/>
              <w:jc w:val="center"/>
              <w:rPr>
                <w:rFonts w:hint="eastAsia" w:ascii="宋体" w:hAnsi="宋体"/>
                <w:sz w:val="24"/>
                <w:szCs w:val="24"/>
              </w:rPr>
            </w:pPr>
            <w:r>
              <w:rPr>
                <w:rFonts w:hint="eastAsia" w:ascii="宋体" w:hAnsi="宋体"/>
                <w:sz w:val="24"/>
                <w:szCs w:val="24"/>
              </w:rPr>
              <w:t>负责人</w:t>
            </w:r>
            <w:bookmarkEnd w:id="1"/>
          </w:p>
        </w:tc>
        <w:tc>
          <w:tcPr>
            <w:tcW w:w="850" w:type="dxa"/>
            <w:vAlign w:val="center"/>
          </w:tcPr>
          <w:p>
            <w:pPr>
              <w:spacing w:line="480" w:lineRule="exact"/>
              <w:ind w:firstLine="240"/>
              <w:jc w:val="center"/>
              <w:rPr>
                <w:rFonts w:hint="eastAsia" w:ascii="宋体" w:hAnsi="宋体"/>
                <w:sz w:val="24"/>
                <w:szCs w:val="24"/>
              </w:rPr>
            </w:pPr>
            <w:r>
              <w:rPr>
                <w:rFonts w:hint="eastAsia" w:ascii="宋体" w:hAnsi="宋体"/>
                <w:sz w:val="24"/>
                <w:szCs w:val="24"/>
              </w:rPr>
              <w:t>1</w:t>
            </w:r>
          </w:p>
        </w:tc>
        <w:tc>
          <w:tcPr>
            <w:tcW w:w="7626" w:type="dxa"/>
            <w:vAlign w:val="center"/>
          </w:tcPr>
          <w:p>
            <w:pPr>
              <w:spacing w:line="480" w:lineRule="exact"/>
              <w:rPr>
                <w:rFonts w:hint="eastAsia" w:ascii="宋体" w:hAnsi="宋体"/>
                <w:sz w:val="24"/>
                <w:szCs w:val="24"/>
              </w:rPr>
            </w:pPr>
            <w:r>
              <w:rPr>
                <w:rFonts w:hint="eastAsia" w:ascii="宋体" w:hAnsi="宋体"/>
                <w:sz w:val="24"/>
                <w:szCs w:val="24"/>
              </w:rPr>
              <w:t>1、具备注册资产评估师资格。</w:t>
            </w:r>
          </w:p>
          <w:p>
            <w:pPr>
              <w:pStyle w:val="4"/>
              <w:spacing w:line="480" w:lineRule="exact"/>
              <w:rPr>
                <w:rFonts w:hint="eastAsia" w:ascii="宋体" w:hAnsi="宋体"/>
                <w:sz w:val="24"/>
                <w:szCs w:val="24"/>
              </w:rPr>
            </w:pPr>
            <w:r>
              <w:rPr>
                <w:rFonts w:hint="eastAsia" w:ascii="宋体" w:hAnsi="宋体"/>
                <w:sz w:val="24"/>
                <w:szCs w:val="24"/>
              </w:rPr>
              <w:t>2、近5年内（2019年10月1日至今，以合同签订时间为准），至少承担过1项高速公路地上物评估工作的项目负责人。</w:t>
            </w:r>
          </w:p>
        </w:tc>
      </w:tr>
    </w:tbl>
    <w:p>
      <w:pPr>
        <w:adjustRightInd w:val="0"/>
        <w:spacing w:line="480" w:lineRule="exact"/>
        <w:jc w:val="left"/>
        <w:rPr>
          <w:rFonts w:hint="eastAsia" w:ascii="宋体" w:hAnsi="宋体"/>
          <w:b/>
          <w:sz w:val="24"/>
        </w:rPr>
      </w:pPr>
      <w:r>
        <w:rPr>
          <w:rFonts w:ascii="宋体" w:hAnsi="宋体"/>
        </w:rPr>
        <w:br w:type="page"/>
      </w:r>
      <w:r>
        <w:rPr>
          <w:rFonts w:hint="eastAsia" w:ascii="宋体" w:hAnsi="宋体"/>
          <w:b/>
          <w:sz w:val="24"/>
        </w:rPr>
        <w:t>附件</w:t>
      </w:r>
      <w:r>
        <w:rPr>
          <w:rFonts w:ascii="宋体" w:hAnsi="宋体"/>
          <w:b/>
          <w:sz w:val="24"/>
        </w:rPr>
        <w:t>2</w:t>
      </w:r>
      <w:r>
        <w:rPr>
          <w:rFonts w:hint="eastAsia" w:ascii="宋体" w:hAnsi="宋体"/>
          <w:b/>
          <w:sz w:val="24"/>
        </w:rPr>
        <w:t>：评标办法</w:t>
      </w:r>
    </w:p>
    <w:p>
      <w:pPr>
        <w:pStyle w:val="9"/>
        <w:spacing w:line="480" w:lineRule="exact"/>
        <w:ind w:firstLine="301"/>
        <w:rPr>
          <w:rFonts w:hint="eastAsia" w:ascii="宋体" w:hAnsi="宋体" w:eastAsia="宋体"/>
          <w:sz w:val="30"/>
          <w:szCs w:val="30"/>
        </w:rPr>
      </w:pPr>
      <w:bookmarkStart w:id="2" w:name="_Toc509846348"/>
      <w:bookmarkStart w:id="3" w:name="_Toc509659998"/>
      <w:bookmarkStart w:id="4" w:name="_Toc450319202"/>
      <w:bookmarkStart w:id="5" w:name="_Toc502992691"/>
      <w:bookmarkStart w:id="6" w:name="_Toc101801418"/>
      <w:bookmarkStart w:id="7" w:name="_Toc509660966"/>
      <w:bookmarkStart w:id="8" w:name="_Toc511635241"/>
      <w:bookmarkStart w:id="9" w:name="_Toc459307890"/>
      <w:bookmarkStart w:id="10" w:name="_Toc445222503"/>
      <w:bookmarkStart w:id="11" w:name="_Toc445382083"/>
      <w:bookmarkStart w:id="12" w:name="_Toc444271617"/>
      <w:bookmarkStart w:id="13" w:name="_Toc444088432"/>
      <w:r>
        <w:rPr>
          <w:rFonts w:hint="eastAsia" w:ascii="宋体" w:hAnsi="宋体" w:eastAsia="宋体"/>
          <w:sz w:val="30"/>
          <w:szCs w:val="30"/>
        </w:rPr>
        <w:t>评标办法（综合评估法）</w:t>
      </w:r>
      <w:bookmarkEnd w:id="2"/>
      <w:bookmarkEnd w:id="3"/>
      <w:bookmarkEnd w:id="4"/>
      <w:bookmarkEnd w:id="5"/>
      <w:bookmarkEnd w:id="6"/>
      <w:bookmarkEnd w:id="7"/>
      <w:bookmarkEnd w:id="8"/>
      <w:bookmarkEnd w:id="9"/>
    </w:p>
    <w:bookmarkEnd w:id="10"/>
    <w:bookmarkEnd w:id="11"/>
    <w:bookmarkEnd w:id="12"/>
    <w:bookmarkEnd w:id="13"/>
    <w:p>
      <w:pPr>
        <w:pStyle w:val="10"/>
        <w:spacing w:line="480" w:lineRule="exact"/>
        <w:ind w:firstLine="241"/>
        <w:rPr>
          <w:rFonts w:hint="eastAsia" w:ascii="宋体" w:hAnsi="宋体"/>
          <w:sz w:val="24"/>
          <w:szCs w:val="24"/>
          <w:vertAlign w:val="superscript"/>
        </w:rPr>
      </w:pPr>
      <w:bookmarkStart w:id="14" w:name="_Toc101801419"/>
      <w:bookmarkStart w:id="15" w:name="_Toc511635242"/>
      <w:bookmarkStart w:id="16" w:name="_Hlk102120823"/>
      <w:r>
        <w:rPr>
          <w:rFonts w:hint="eastAsia" w:ascii="宋体" w:hAnsi="宋体"/>
          <w:sz w:val="24"/>
          <w:szCs w:val="24"/>
        </w:rPr>
        <w:t>评标办法前附表</w:t>
      </w:r>
      <w:bookmarkEnd w:id="14"/>
      <w:bookmarkEnd w:id="15"/>
    </w:p>
    <w:tbl>
      <w:tblPr>
        <w:tblStyle w:val="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277"/>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72" w:type="dxa"/>
            <w:vAlign w:val="center"/>
          </w:tcPr>
          <w:p>
            <w:pPr>
              <w:spacing w:line="276" w:lineRule="auto"/>
              <w:ind w:firstLine="240"/>
              <w:jc w:val="center"/>
              <w:rPr>
                <w:rFonts w:hint="eastAsia" w:ascii="宋体" w:hAnsi="宋体"/>
                <w:sz w:val="24"/>
                <w:szCs w:val="24"/>
              </w:rPr>
            </w:pPr>
            <w:r>
              <w:rPr>
                <w:rFonts w:hint="eastAsia" w:ascii="宋体" w:hAnsi="宋体"/>
                <w:sz w:val="24"/>
                <w:szCs w:val="24"/>
              </w:rPr>
              <w:t>条款号</w:t>
            </w:r>
          </w:p>
        </w:tc>
        <w:tc>
          <w:tcPr>
            <w:tcW w:w="1277" w:type="dxa"/>
            <w:vAlign w:val="center"/>
          </w:tcPr>
          <w:p>
            <w:pPr>
              <w:spacing w:line="276" w:lineRule="auto"/>
              <w:ind w:firstLine="240"/>
              <w:jc w:val="center"/>
              <w:rPr>
                <w:rFonts w:hint="eastAsia" w:ascii="宋体" w:hAnsi="宋体"/>
                <w:sz w:val="24"/>
                <w:szCs w:val="24"/>
              </w:rPr>
            </w:pPr>
            <w:r>
              <w:rPr>
                <w:rFonts w:hint="eastAsia" w:ascii="宋体" w:hAnsi="宋体"/>
                <w:sz w:val="24"/>
                <w:szCs w:val="24"/>
              </w:rPr>
              <w:t>条款名称</w:t>
            </w:r>
          </w:p>
        </w:tc>
        <w:tc>
          <w:tcPr>
            <w:tcW w:w="7279" w:type="dxa"/>
            <w:vAlign w:val="center"/>
          </w:tcPr>
          <w:p>
            <w:pPr>
              <w:spacing w:line="276" w:lineRule="auto"/>
              <w:ind w:firstLine="240"/>
              <w:jc w:val="center"/>
              <w:rPr>
                <w:rFonts w:hint="eastAsia" w:ascii="宋体" w:hAnsi="宋体"/>
                <w:sz w:val="24"/>
                <w:szCs w:val="24"/>
              </w:rPr>
            </w:pPr>
            <w:r>
              <w:rPr>
                <w:rFonts w:hint="eastAsia" w:ascii="宋体" w:hAnsi="宋体"/>
                <w:sz w:val="24"/>
                <w:szCs w:val="24"/>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1072" w:type="dxa"/>
            <w:vAlign w:val="center"/>
          </w:tcPr>
          <w:p>
            <w:pPr>
              <w:spacing w:line="276" w:lineRule="auto"/>
              <w:ind w:firstLine="240"/>
              <w:jc w:val="center"/>
              <w:rPr>
                <w:rFonts w:hint="eastAsia" w:ascii="宋体" w:hAnsi="宋体"/>
                <w:sz w:val="24"/>
                <w:szCs w:val="24"/>
              </w:rPr>
            </w:pPr>
            <w:r>
              <w:rPr>
                <w:rFonts w:ascii="宋体" w:hAnsi="宋体"/>
                <w:sz w:val="24"/>
                <w:szCs w:val="24"/>
              </w:rPr>
              <w:t>1</w:t>
            </w:r>
          </w:p>
        </w:tc>
        <w:tc>
          <w:tcPr>
            <w:tcW w:w="1277" w:type="dxa"/>
            <w:vAlign w:val="center"/>
          </w:tcPr>
          <w:p>
            <w:pPr>
              <w:spacing w:line="276" w:lineRule="auto"/>
              <w:ind w:firstLine="240"/>
              <w:jc w:val="center"/>
              <w:rPr>
                <w:rFonts w:hint="eastAsia" w:ascii="宋体" w:hAnsi="宋体"/>
                <w:sz w:val="24"/>
                <w:szCs w:val="24"/>
              </w:rPr>
            </w:pPr>
            <w:r>
              <w:rPr>
                <w:rFonts w:hint="eastAsia" w:ascii="宋体" w:hAnsi="宋体"/>
                <w:sz w:val="24"/>
                <w:szCs w:val="24"/>
              </w:rPr>
              <w:t>评标办法</w:t>
            </w:r>
          </w:p>
        </w:tc>
        <w:tc>
          <w:tcPr>
            <w:tcW w:w="7279"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spacing w:line="276" w:lineRule="auto"/>
              <w:ind w:firstLine="480" w:firstLineChars="200"/>
              <w:rPr>
                <w:rFonts w:hint="eastAsia" w:ascii="宋体" w:hAnsi="宋体"/>
                <w:sz w:val="24"/>
                <w:szCs w:val="24"/>
              </w:rPr>
            </w:pPr>
            <w:r>
              <w:rPr>
                <w:rFonts w:hint="eastAsia" w:ascii="宋体" w:hAnsi="宋体"/>
                <w:sz w:val="24"/>
                <w:szCs w:val="24"/>
              </w:rPr>
              <w:t>（1）评标价低的投标人优先；</w:t>
            </w:r>
          </w:p>
          <w:p>
            <w:pPr>
              <w:spacing w:line="276" w:lineRule="auto"/>
              <w:ind w:firstLine="480" w:firstLineChars="200"/>
              <w:rPr>
                <w:rFonts w:hint="eastAsia" w:ascii="宋体" w:hAnsi="宋体"/>
                <w:sz w:val="24"/>
                <w:szCs w:val="24"/>
              </w:rPr>
            </w:pPr>
            <w:r>
              <w:rPr>
                <w:rFonts w:hint="eastAsia" w:ascii="宋体" w:hAnsi="宋体"/>
                <w:sz w:val="24"/>
                <w:szCs w:val="24"/>
              </w:rPr>
              <w:t>（2）技术建议书得分较高的投标人优先；</w:t>
            </w:r>
          </w:p>
          <w:p>
            <w:pPr>
              <w:spacing w:line="276" w:lineRule="auto"/>
              <w:ind w:firstLine="480" w:firstLineChars="200"/>
              <w:rPr>
                <w:rFonts w:hint="eastAsia" w:ascii="宋体" w:hAnsi="宋体"/>
                <w:sz w:val="24"/>
                <w:szCs w:val="24"/>
              </w:rPr>
            </w:pPr>
            <w:r>
              <w:rPr>
                <w:rFonts w:hint="eastAsia" w:ascii="宋体" w:hAnsi="宋体"/>
                <w:sz w:val="24"/>
                <w:szCs w:val="24"/>
              </w:rPr>
              <w:t>（3）投标文件中满足附录2资格审查条件(业绩最低要求)的业绩累计金额高的优先。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72" w:type="dxa"/>
            <w:vAlign w:val="center"/>
          </w:tcPr>
          <w:p>
            <w:pPr>
              <w:spacing w:line="276" w:lineRule="auto"/>
              <w:ind w:firstLine="240"/>
              <w:jc w:val="center"/>
              <w:rPr>
                <w:rFonts w:hint="eastAsia" w:ascii="宋体" w:hAnsi="宋体"/>
                <w:sz w:val="24"/>
                <w:szCs w:val="24"/>
              </w:rPr>
            </w:pPr>
            <w:r>
              <w:rPr>
                <w:rFonts w:ascii="宋体" w:hAnsi="宋体"/>
                <w:sz w:val="24"/>
                <w:szCs w:val="24"/>
              </w:rPr>
              <w:t>2.1.1</w:t>
            </w:r>
          </w:p>
          <w:p>
            <w:pPr>
              <w:spacing w:line="276" w:lineRule="auto"/>
              <w:ind w:firstLine="240"/>
              <w:jc w:val="center"/>
              <w:rPr>
                <w:rFonts w:hint="eastAsia" w:ascii="宋体" w:hAnsi="宋体"/>
                <w:sz w:val="24"/>
                <w:szCs w:val="24"/>
              </w:rPr>
            </w:pPr>
            <w:r>
              <w:rPr>
                <w:rFonts w:ascii="宋体" w:hAnsi="宋体"/>
                <w:sz w:val="24"/>
                <w:szCs w:val="24"/>
              </w:rPr>
              <w:t>2.1.3</w:t>
            </w:r>
          </w:p>
        </w:tc>
        <w:tc>
          <w:tcPr>
            <w:tcW w:w="1277" w:type="dxa"/>
            <w:vAlign w:val="center"/>
          </w:tcPr>
          <w:p>
            <w:pPr>
              <w:spacing w:line="276" w:lineRule="auto"/>
              <w:ind w:firstLine="240"/>
              <w:jc w:val="center"/>
              <w:rPr>
                <w:rFonts w:hint="eastAsia" w:ascii="宋体" w:hAnsi="宋体"/>
                <w:sz w:val="24"/>
                <w:szCs w:val="24"/>
              </w:rPr>
            </w:pPr>
            <w:r>
              <w:rPr>
                <w:rFonts w:hint="eastAsia" w:ascii="宋体" w:hAnsi="宋体"/>
                <w:sz w:val="24"/>
                <w:szCs w:val="24"/>
              </w:rPr>
              <w:t>形式评审与响应性评审标准</w:t>
            </w:r>
          </w:p>
        </w:tc>
        <w:tc>
          <w:tcPr>
            <w:tcW w:w="7279" w:type="dxa"/>
          </w:tcPr>
          <w:p>
            <w:pPr>
              <w:tabs>
                <w:tab w:val="left" w:pos="3060"/>
              </w:tabs>
              <w:spacing w:line="320" w:lineRule="exact"/>
              <w:ind w:firstLine="241"/>
              <w:rPr>
                <w:rFonts w:hint="eastAsia" w:ascii="宋体" w:hAnsi="宋体"/>
                <w:b/>
                <w:sz w:val="24"/>
                <w:szCs w:val="24"/>
              </w:rPr>
            </w:pPr>
            <w:r>
              <w:rPr>
                <w:rFonts w:hint="eastAsia" w:ascii="宋体" w:hAnsi="宋体"/>
                <w:b/>
                <w:sz w:val="24"/>
                <w:szCs w:val="24"/>
              </w:rPr>
              <w:t>第一个信封（商务文件）评审标准：</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（1）投标文件按照招标文件规定的格式、内容填写，字迹清晰可辨：</w:t>
            </w:r>
          </w:p>
          <w:p>
            <w:pPr>
              <w:tabs>
                <w:tab w:val="left" w:pos="3060"/>
              </w:tabs>
              <w:spacing w:line="320" w:lineRule="exact"/>
              <w:ind w:firstLine="480" w:firstLineChars="200"/>
              <w:rPr>
                <w:rFonts w:hint="eastAsia" w:ascii="宋体" w:hAnsi="宋体"/>
                <w:sz w:val="24"/>
                <w:szCs w:val="24"/>
              </w:rPr>
            </w:pPr>
            <w:r>
              <w:rPr>
                <w:rFonts w:hint="eastAsia" w:ascii="宋体" w:hAnsi="宋体"/>
                <w:sz w:val="24"/>
                <w:szCs w:val="24"/>
              </w:rPr>
              <w:t>a．投标函按招标文件规定填报了招标人名称、项目名称、补遗书编号（如有）、项目负责人相关信息、服务期限、质量要求、安全目标等内容；</w:t>
            </w:r>
          </w:p>
          <w:p>
            <w:pPr>
              <w:tabs>
                <w:tab w:val="left" w:pos="3060"/>
              </w:tabs>
              <w:spacing w:line="320" w:lineRule="exact"/>
              <w:ind w:firstLine="480" w:firstLineChars="200"/>
              <w:rPr>
                <w:rFonts w:hint="eastAsia" w:ascii="宋体" w:hAnsi="宋体"/>
                <w:sz w:val="24"/>
                <w:szCs w:val="24"/>
              </w:rPr>
            </w:pPr>
            <w:r>
              <w:rPr>
                <w:rFonts w:hint="eastAsia" w:ascii="宋体" w:hAnsi="宋体"/>
                <w:sz w:val="24"/>
                <w:szCs w:val="24"/>
              </w:rPr>
              <w:t>b．投标文件组成齐全完整，内容均按规定填写。</w:t>
            </w:r>
          </w:p>
          <w:p>
            <w:pPr>
              <w:tabs>
                <w:tab w:val="left" w:pos="3060"/>
              </w:tabs>
              <w:spacing w:line="320" w:lineRule="exact"/>
              <w:ind w:firstLine="240" w:firstLineChars="100"/>
              <w:rPr>
                <w:rFonts w:hint="eastAsia"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）投标文件上法定代表人或其授权代理人的签字、投标人的单位章盖章齐全，符合招标文件规定。</w:t>
            </w:r>
          </w:p>
          <w:p>
            <w:pPr>
              <w:tabs>
                <w:tab w:val="left" w:pos="3060"/>
              </w:tabs>
              <w:spacing w:line="320" w:lineRule="exact"/>
              <w:ind w:firstLine="240" w:firstLineChars="100"/>
              <w:rPr>
                <w:rFonts w:hint="eastAsia" w:ascii="宋体" w:hAnsi="宋体"/>
                <w:sz w:val="24"/>
                <w:szCs w:val="24"/>
              </w:rPr>
            </w:pPr>
            <w:r>
              <w:rPr>
                <w:rFonts w:hint="eastAsia" w:ascii="宋体" w:hAnsi="宋体" w:cs="宋体"/>
                <w:sz w:val="24"/>
                <w:szCs w:val="24"/>
              </w:rPr>
              <w:t>（3）投标人按照招标文件的规定提供了投标保证金，满足招标文件投标人须知前附表第3.4.1款。</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）投标人法定代表人授权委托代理人签署投标文件的，须提交授权委托书，授权委托书符合招标文件规定。</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）投标人法定代表人亲自签署投标文件的，提供了法定代表人身份证明，法定代表人身份证明符合招标文件规定。</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（6）投标人未以联合体形式投标。</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（7）</w:t>
            </w:r>
            <w:r>
              <w:rPr>
                <w:rFonts w:ascii="宋体" w:hAnsi="宋体"/>
                <w:sz w:val="24"/>
                <w:szCs w:val="24"/>
              </w:rPr>
              <w:t>投标人未对本项目提出分包计划</w:t>
            </w:r>
            <w:r>
              <w:rPr>
                <w:rFonts w:hint="eastAsia" w:ascii="宋体" w:hAnsi="宋体"/>
                <w:sz w:val="24"/>
                <w:szCs w:val="24"/>
              </w:rPr>
              <w:t>。</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（8）投标人未提交两个以上不同的投标文件。</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（9）投标文件中未出现有关投标报价的内容。</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（10）投标文件载明的招标项目完成期限未超过招标文件规定的时限。</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1）投标文件对招标文件的实质性要求和条件作出响应。</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2）权利义务符合招标文件规定：</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a.投标人应接受招标文件规定的风险划分原则，未提出新的风险划分办法；</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b.投标人未增加发包人的责任范围，或减少投标人义务；</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c.投标人未提出不同的支付办法；</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d.投标人对合同纠纷、事故处理办法未提出异议；</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e.投标人在投标活动中无欺诈行为；</w:t>
            </w:r>
          </w:p>
          <w:p>
            <w:pPr>
              <w:tabs>
                <w:tab w:val="left" w:pos="3060"/>
              </w:tabs>
              <w:spacing w:line="320" w:lineRule="exact"/>
              <w:ind w:firstLine="240" w:firstLineChars="100"/>
              <w:rPr>
                <w:rFonts w:hint="eastAsia" w:ascii="宋体" w:hAnsi="宋体"/>
                <w:sz w:val="24"/>
                <w:szCs w:val="24"/>
              </w:rPr>
            </w:pPr>
            <w:r>
              <w:rPr>
                <w:rFonts w:hint="eastAsia" w:ascii="宋体" w:hAnsi="宋体"/>
                <w:sz w:val="24"/>
                <w:szCs w:val="24"/>
              </w:rPr>
              <w:t>f.投标人未对合同条款有重要保留。</w:t>
            </w:r>
          </w:p>
          <w:p>
            <w:pPr>
              <w:tabs>
                <w:tab w:val="left" w:pos="3060"/>
              </w:tabs>
              <w:spacing w:line="276" w:lineRule="auto"/>
              <w:ind w:firstLine="241"/>
              <w:rPr>
                <w:rFonts w:hint="eastAsia" w:ascii="宋体" w:hAnsi="宋体"/>
                <w:b/>
                <w:sz w:val="24"/>
                <w:szCs w:val="24"/>
              </w:rPr>
            </w:pPr>
            <w:r>
              <w:rPr>
                <w:rFonts w:hint="eastAsia" w:ascii="宋体" w:hAnsi="宋体"/>
                <w:b/>
                <w:sz w:val="24"/>
                <w:szCs w:val="24"/>
              </w:rPr>
              <w:t>第一个信封（技术文件）评审标准</w:t>
            </w:r>
            <w:r>
              <w:rPr>
                <w:rFonts w:ascii="宋体" w:hAnsi="宋体"/>
                <w:b/>
                <w:sz w:val="24"/>
                <w:szCs w:val="24"/>
              </w:rPr>
              <w:t>:</w:t>
            </w:r>
          </w:p>
          <w:p>
            <w:pPr>
              <w:tabs>
                <w:tab w:val="left" w:pos="3060"/>
              </w:tabs>
              <w:spacing w:line="276" w:lineRule="auto"/>
              <w:rPr>
                <w:rFonts w:hint="eastAsia" w:ascii="宋体" w:hAnsi="宋体"/>
                <w:sz w:val="24"/>
                <w:szCs w:val="24"/>
              </w:rPr>
            </w:pPr>
            <w:r>
              <w:rPr>
                <w:rFonts w:hint="eastAsia" w:ascii="宋体" w:hAnsi="宋体"/>
                <w:sz w:val="24"/>
                <w:szCs w:val="24"/>
              </w:rPr>
              <w:t>（1）技术建议书（暗标）编制符合招标文件第二章“投标人须知”第10.2款的规定。</w:t>
            </w:r>
          </w:p>
          <w:p>
            <w:pPr>
              <w:tabs>
                <w:tab w:val="left" w:pos="3060"/>
              </w:tabs>
              <w:spacing w:line="276" w:lineRule="auto"/>
              <w:ind w:firstLine="241"/>
              <w:rPr>
                <w:rFonts w:hint="eastAsia" w:ascii="宋体" w:hAnsi="宋体"/>
                <w:b/>
                <w:sz w:val="24"/>
                <w:szCs w:val="24"/>
              </w:rPr>
            </w:pPr>
            <w:r>
              <w:rPr>
                <w:rFonts w:hint="eastAsia" w:ascii="宋体" w:hAnsi="宋体"/>
                <w:b/>
                <w:sz w:val="24"/>
                <w:szCs w:val="24"/>
              </w:rPr>
              <w:t>第二个信封（报价文件）评审标准：</w:t>
            </w:r>
          </w:p>
          <w:p>
            <w:pPr>
              <w:tabs>
                <w:tab w:val="left" w:pos="3060"/>
              </w:tabs>
              <w:spacing w:line="276" w:lineRule="auto"/>
              <w:ind w:firstLine="120" w:firstLineChars="50"/>
              <w:rPr>
                <w:rFonts w:hint="eastAsia" w:ascii="宋体" w:hAnsi="宋体"/>
                <w:sz w:val="24"/>
                <w:szCs w:val="24"/>
              </w:rPr>
            </w:pPr>
            <w:r>
              <w:rPr>
                <w:rFonts w:ascii="宋体" w:hAnsi="宋体"/>
                <w:sz w:val="24"/>
                <w:szCs w:val="24"/>
              </w:rPr>
              <w:t>(1)投标文件按照招标文件规定的格式、内容填写，字迹清晰可辨，内容齐</w:t>
            </w:r>
            <w:r>
              <w:rPr>
                <w:rFonts w:hint="eastAsia" w:ascii="宋体" w:hAnsi="宋体"/>
                <w:sz w:val="24"/>
                <w:szCs w:val="24"/>
              </w:rPr>
              <w:t>全完整：</w:t>
            </w:r>
          </w:p>
          <w:p>
            <w:pPr>
              <w:tabs>
                <w:tab w:val="left" w:pos="3060"/>
              </w:tabs>
              <w:spacing w:line="276" w:lineRule="auto"/>
              <w:ind w:firstLine="120" w:firstLineChars="50"/>
              <w:rPr>
                <w:rFonts w:hint="eastAsia" w:ascii="宋体" w:hAnsi="宋体"/>
                <w:sz w:val="24"/>
                <w:szCs w:val="24"/>
              </w:rPr>
            </w:pPr>
            <w:r>
              <w:rPr>
                <w:rFonts w:ascii="宋体" w:hAnsi="宋体"/>
                <w:sz w:val="24"/>
                <w:szCs w:val="24"/>
              </w:rPr>
              <w:t>a．</w:t>
            </w:r>
            <w:r>
              <w:rPr>
                <w:rFonts w:hint="eastAsia" w:ascii="宋体" w:hAnsi="宋体"/>
                <w:sz w:val="24"/>
                <w:szCs w:val="24"/>
              </w:rPr>
              <w:t>投标函按招标文件规定填报了招标人名称、项目名称、补遗书编号（如有）、投标报价（包括大写金额和小写金额）；</w:t>
            </w:r>
          </w:p>
          <w:p>
            <w:pPr>
              <w:tabs>
                <w:tab w:val="left" w:pos="3060"/>
              </w:tabs>
              <w:spacing w:line="276" w:lineRule="auto"/>
              <w:ind w:firstLine="120" w:firstLineChars="50"/>
              <w:rPr>
                <w:rFonts w:hint="eastAsia" w:ascii="宋体" w:hAnsi="宋体"/>
                <w:sz w:val="24"/>
                <w:szCs w:val="24"/>
              </w:rPr>
            </w:pPr>
            <w:r>
              <w:rPr>
                <w:rFonts w:ascii="宋体" w:hAnsi="宋体"/>
                <w:sz w:val="24"/>
                <w:szCs w:val="24"/>
              </w:rPr>
              <w:t>b．已标价报价清单说明文字与招标文件规定一致，未进行实质性修改和</w:t>
            </w:r>
            <w:r>
              <w:rPr>
                <w:rFonts w:hint="eastAsia" w:ascii="宋体" w:hAnsi="宋体"/>
                <w:sz w:val="24"/>
                <w:szCs w:val="24"/>
              </w:rPr>
              <w:t>删减；</w:t>
            </w:r>
          </w:p>
          <w:p>
            <w:pPr>
              <w:tabs>
                <w:tab w:val="left" w:pos="3060"/>
              </w:tabs>
              <w:spacing w:line="276" w:lineRule="auto"/>
              <w:ind w:firstLine="120" w:firstLineChars="50"/>
              <w:rPr>
                <w:rFonts w:hint="eastAsia" w:ascii="宋体" w:hAnsi="宋体"/>
                <w:sz w:val="24"/>
                <w:szCs w:val="24"/>
              </w:rPr>
            </w:pPr>
            <w:r>
              <w:rPr>
                <w:rFonts w:ascii="宋体" w:hAnsi="宋体"/>
                <w:sz w:val="24"/>
                <w:szCs w:val="24"/>
              </w:rPr>
              <w:t>c．投标文件组成齐全完整，内容均按规定填写。</w:t>
            </w:r>
          </w:p>
          <w:p>
            <w:pPr>
              <w:tabs>
                <w:tab w:val="left" w:pos="3060"/>
              </w:tabs>
              <w:spacing w:line="276" w:lineRule="auto"/>
              <w:ind w:firstLine="120" w:firstLineChars="50"/>
              <w:rPr>
                <w:rFonts w:hint="eastAsia" w:ascii="宋体" w:hAnsi="宋体"/>
                <w:sz w:val="24"/>
                <w:szCs w:val="24"/>
              </w:rPr>
            </w:pPr>
            <w:r>
              <w:rPr>
                <w:rFonts w:ascii="宋体" w:hAnsi="宋体"/>
                <w:sz w:val="24"/>
                <w:szCs w:val="24"/>
              </w:rPr>
              <w:t xml:space="preserve">(2) </w:t>
            </w:r>
            <w:r>
              <w:rPr>
                <w:rFonts w:hint="eastAsia" w:ascii="宋体" w:hAnsi="宋体"/>
                <w:sz w:val="24"/>
                <w:szCs w:val="24"/>
              </w:rPr>
              <w:t>投标文件上法定代表人或其委托代理人签字、投标人的单位章齐全，符合招标文件规定。</w:t>
            </w:r>
          </w:p>
          <w:p>
            <w:pPr>
              <w:tabs>
                <w:tab w:val="left" w:pos="3060"/>
              </w:tabs>
              <w:spacing w:line="276" w:lineRule="auto"/>
              <w:ind w:firstLine="120" w:firstLineChars="50"/>
              <w:rPr>
                <w:rFonts w:hint="eastAsia" w:ascii="宋体" w:hAnsi="宋体"/>
                <w:sz w:val="24"/>
                <w:szCs w:val="24"/>
              </w:rPr>
            </w:pPr>
            <w:r>
              <w:rPr>
                <w:rFonts w:ascii="宋体" w:hAnsi="宋体"/>
                <w:sz w:val="24"/>
                <w:szCs w:val="24"/>
              </w:rPr>
              <w:t>(3)投标报价未超过招标文件设定的最高投标限价。</w:t>
            </w:r>
          </w:p>
          <w:p>
            <w:pPr>
              <w:tabs>
                <w:tab w:val="left" w:pos="3060"/>
              </w:tabs>
              <w:spacing w:line="276" w:lineRule="auto"/>
              <w:ind w:firstLine="120" w:firstLineChars="50"/>
              <w:rPr>
                <w:rFonts w:hint="eastAsia" w:ascii="宋体" w:hAnsi="宋体"/>
                <w:sz w:val="24"/>
                <w:szCs w:val="24"/>
              </w:rPr>
            </w:pPr>
            <w:r>
              <w:rPr>
                <w:rFonts w:ascii="宋体" w:hAnsi="宋体"/>
                <w:sz w:val="24"/>
                <w:szCs w:val="24"/>
              </w:rPr>
              <w:t>(4)投标报价的大写金额能够确定具体数值。</w:t>
            </w:r>
          </w:p>
          <w:p>
            <w:pPr>
              <w:tabs>
                <w:tab w:val="left" w:pos="3060"/>
              </w:tabs>
              <w:spacing w:line="276" w:lineRule="auto"/>
              <w:ind w:firstLine="120" w:firstLineChars="50"/>
              <w:rPr>
                <w:rFonts w:hint="eastAsia" w:ascii="宋体" w:hAnsi="宋体"/>
                <w:sz w:val="24"/>
                <w:szCs w:val="24"/>
              </w:rPr>
            </w:pPr>
            <w:r>
              <w:rPr>
                <w:rFonts w:ascii="宋体" w:hAnsi="宋体"/>
                <w:sz w:val="24"/>
                <w:szCs w:val="24"/>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72" w:type="dxa"/>
            <w:vAlign w:val="center"/>
          </w:tcPr>
          <w:p>
            <w:pPr>
              <w:spacing w:line="276" w:lineRule="auto"/>
              <w:ind w:firstLine="240"/>
              <w:jc w:val="center"/>
              <w:rPr>
                <w:rFonts w:hint="eastAsia" w:ascii="宋体" w:hAnsi="宋体"/>
                <w:sz w:val="24"/>
                <w:szCs w:val="24"/>
              </w:rPr>
            </w:pPr>
            <w:r>
              <w:rPr>
                <w:rFonts w:ascii="宋体" w:hAnsi="宋体"/>
                <w:sz w:val="24"/>
                <w:szCs w:val="24"/>
              </w:rPr>
              <w:t>2.1.2</w:t>
            </w:r>
          </w:p>
        </w:tc>
        <w:tc>
          <w:tcPr>
            <w:tcW w:w="1277" w:type="dxa"/>
            <w:vAlign w:val="center"/>
          </w:tcPr>
          <w:p>
            <w:pPr>
              <w:spacing w:line="276" w:lineRule="auto"/>
              <w:ind w:firstLine="240"/>
              <w:jc w:val="center"/>
              <w:rPr>
                <w:rFonts w:hint="eastAsia" w:ascii="宋体" w:hAnsi="宋体"/>
                <w:sz w:val="24"/>
                <w:szCs w:val="24"/>
              </w:rPr>
            </w:pPr>
            <w:r>
              <w:rPr>
                <w:rFonts w:hint="eastAsia" w:ascii="宋体" w:hAnsi="宋体"/>
                <w:sz w:val="24"/>
                <w:szCs w:val="24"/>
              </w:rPr>
              <w:t>资格评审标准</w:t>
            </w:r>
          </w:p>
        </w:tc>
        <w:tc>
          <w:tcPr>
            <w:tcW w:w="7279" w:type="dxa"/>
          </w:tcPr>
          <w:p>
            <w:pPr>
              <w:tabs>
                <w:tab w:val="left" w:pos="3060"/>
              </w:tabs>
              <w:spacing w:line="276" w:lineRule="auto"/>
              <w:ind w:firstLine="24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投标人具备有效的营业执照(或事业单位法人证书)</w:t>
            </w:r>
            <w:r>
              <w:rPr>
                <w:rFonts w:ascii="宋体" w:hAnsi="宋体"/>
                <w:sz w:val="24"/>
                <w:szCs w:val="24"/>
              </w:rPr>
              <w:t>、组织机构代码证（</w:t>
            </w:r>
            <w:r>
              <w:rPr>
                <w:rFonts w:hint="eastAsia" w:ascii="宋体" w:hAnsi="宋体"/>
                <w:sz w:val="24"/>
                <w:szCs w:val="24"/>
              </w:rPr>
              <w:t>“</w:t>
            </w:r>
            <w:r>
              <w:rPr>
                <w:rFonts w:ascii="宋体" w:hAnsi="宋体"/>
                <w:sz w:val="24"/>
                <w:szCs w:val="24"/>
              </w:rPr>
              <w:t>三证合一</w:t>
            </w:r>
            <w:r>
              <w:rPr>
                <w:rFonts w:hint="eastAsia" w:ascii="宋体" w:hAnsi="宋体"/>
                <w:sz w:val="24"/>
                <w:szCs w:val="24"/>
              </w:rPr>
              <w:t>”或“五证合一”</w:t>
            </w:r>
            <w:r>
              <w:rPr>
                <w:rFonts w:ascii="宋体" w:hAnsi="宋体"/>
                <w:sz w:val="24"/>
                <w:szCs w:val="24"/>
              </w:rPr>
              <w:t>的除外）、资质证书和基本账户开户许可证（或基本存款账户信息）；</w:t>
            </w:r>
          </w:p>
          <w:p>
            <w:pPr>
              <w:tabs>
                <w:tab w:val="left" w:pos="3060"/>
              </w:tabs>
              <w:spacing w:line="276" w:lineRule="auto"/>
              <w:ind w:firstLine="240"/>
              <w:rPr>
                <w:rFonts w:hint="eastAsia" w:ascii="宋体" w:hAnsi="宋体"/>
                <w:sz w:val="24"/>
                <w:szCs w:val="24"/>
              </w:rPr>
            </w:pPr>
            <w:r>
              <w:rPr>
                <w:rFonts w:hint="eastAsia" w:ascii="宋体" w:hAnsi="宋体"/>
                <w:sz w:val="24"/>
                <w:szCs w:val="24"/>
              </w:rPr>
              <w:t>（</w:t>
            </w:r>
            <w:r>
              <w:rPr>
                <w:rFonts w:ascii="宋体" w:hAnsi="宋体"/>
                <w:sz w:val="24"/>
                <w:szCs w:val="24"/>
              </w:rPr>
              <w:t>2）投标人的资质等级符合招标文件规定；</w:t>
            </w:r>
          </w:p>
          <w:p>
            <w:pPr>
              <w:tabs>
                <w:tab w:val="left" w:pos="3060"/>
              </w:tabs>
              <w:spacing w:line="276" w:lineRule="auto"/>
              <w:ind w:firstLine="240"/>
              <w:rPr>
                <w:rFonts w:hint="eastAsia" w:ascii="宋体" w:hAnsi="宋体"/>
                <w:sz w:val="24"/>
                <w:szCs w:val="24"/>
              </w:rPr>
            </w:pPr>
            <w:r>
              <w:rPr>
                <w:rFonts w:hint="eastAsia" w:ascii="宋体" w:hAnsi="宋体"/>
                <w:sz w:val="24"/>
                <w:szCs w:val="24"/>
              </w:rPr>
              <w:t>（</w:t>
            </w:r>
            <w:r>
              <w:rPr>
                <w:rFonts w:ascii="宋体" w:hAnsi="宋体"/>
                <w:sz w:val="24"/>
                <w:szCs w:val="24"/>
              </w:rPr>
              <w:t>3）投标人的类似项目业绩符合招标文件规定；</w:t>
            </w:r>
          </w:p>
          <w:p>
            <w:pPr>
              <w:tabs>
                <w:tab w:val="left" w:pos="3060"/>
              </w:tabs>
              <w:spacing w:line="276" w:lineRule="auto"/>
              <w:ind w:firstLine="240"/>
              <w:rPr>
                <w:rFonts w:hint="eastAsia" w:ascii="宋体" w:hAnsi="宋体"/>
                <w:sz w:val="24"/>
                <w:szCs w:val="24"/>
              </w:rPr>
            </w:pPr>
            <w:r>
              <w:rPr>
                <w:rFonts w:hint="eastAsia" w:ascii="宋体" w:hAnsi="宋体"/>
                <w:sz w:val="24"/>
                <w:szCs w:val="24"/>
              </w:rPr>
              <w:t>（</w:t>
            </w:r>
            <w:r>
              <w:rPr>
                <w:rFonts w:ascii="宋体" w:hAnsi="宋体"/>
                <w:sz w:val="24"/>
                <w:szCs w:val="24"/>
              </w:rPr>
              <w:t>4）投标人的信誉符合招标文件规定；</w:t>
            </w:r>
          </w:p>
          <w:p>
            <w:pPr>
              <w:tabs>
                <w:tab w:val="left" w:pos="3060"/>
              </w:tabs>
              <w:spacing w:line="276" w:lineRule="auto"/>
              <w:ind w:firstLine="240"/>
              <w:rPr>
                <w:rFonts w:hint="eastAsia" w:ascii="宋体" w:hAnsi="宋体"/>
                <w:sz w:val="24"/>
                <w:szCs w:val="24"/>
              </w:rPr>
            </w:pPr>
            <w:r>
              <w:rPr>
                <w:rFonts w:hint="eastAsia" w:ascii="宋体" w:hAnsi="宋体"/>
                <w:sz w:val="24"/>
                <w:szCs w:val="24"/>
              </w:rPr>
              <w:t>（</w:t>
            </w:r>
            <w:r>
              <w:rPr>
                <w:rFonts w:ascii="宋体" w:hAnsi="宋体"/>
                <w:sz w:val="24"/>
                <w:szCs w:val="24"/>
              </w:rPr>
              <w:t xml:space="preserve">5）投标人的项目负责人资格符合招标文件规定； </w:t>
            </w:r>
          </w:p>
          <w:p>
            <w:pPr>
              <w:tabs>
                <w:tab w:val="left" w:pos="3060"/>
              </w:tabs>
              <w:spacing w:line="276" w:lineRule="auto"/>
              <w:ind w:firstLine="240"/>
              <w:rPr>
                <w:rFonts w:hint="eastAsia" w:ascii="宋体" w:hAnsi="宋体"/>
                <w:sz w:val="24"/>
                <w:szCs w:val="24"/>
              </w:rPr>
            </w:pPr>
            <w:r>
              <w:rPr>
                <w:rFonts w:hint="eastAsia" w:ascii="宋体" w:hAnsi="宋体"/>
                <w:sz w:val="24"/>
                <w:szCs w:val="24"/>
              </w:rPr>
              <w:t>（</w:t>
            </w:r>
            <w:r>
              <w:rPr>
                <w:rFonts w:ascii="宋体" w:hAnsi="宋体"/>
                <w:sz w:val="24"/>
                <w:szCs w:val="24"/>
              </w:rPr>
              <w:t>6）投标人不存在第二章“投标人须知”第1.4.3项或第1.4.4项规定的任何一种情形。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1072" w:type="dxa"/>
            <w:vAlign w:val="center"/>
          </w:tcPr>
          <w:p>
            <w:pPr>
              <w:spacing w:line="276" w:lineRule="auto"/>
              <w:ind w:firstLine="240"/>
              <w:jc w:val="center"/>
              <w:rPr>
                <w:rFonts w:hint="eastAsia" w:ascii="宋体" w:hAnsi="宋体"/>
                <w:sz w:val="24"/>
                <w:szCs w:val="24"/>
              </w:rPr>
            </w:pPr>
            <w:r>
              <w:rPr>
                <w:rFonts w:ascii="宋体" w:hAnsi="宋体"/>
                <w:sz w:val="24"/>
                <w:szCs w:val="24"/>
              </w:rPr>
              <w:t>2.2.1</w:t>
            </w:r>
          </w:p>
        </w:tc>
        <w:tc>
          <w:tcPr>
            <w:tcW w:w="1277" w:type="dxa"/>
            <w:vAlign w:val="center"/>
          </w:tcPr>
          <w:p>
            <w:pPr>
              <w:spacing w:line="276" w:lineRule="auto"/>
              <w:ind w:firstLine="240"/>
              <w:jc w:val="center"/>
              <w:rPr>
                <w:rFonts w:hint="eastAsia" w:ascii="宋体" w:hAnsi="宋体"/>
                <w:sz w:val="24"/>
                <w:szCs w:val="24"/>
              </w:rPr>
            </w:pPr>
            <w:r>
              <w:rPr>
                <w:rFonts w:hint="eastAsia" w:ascii="宋体" w:hAnsi="宋体"/>
                <w:sz w:val="24"/>
                <w:szCs w:val="24"/>
              </w:rPr>
              <w:t>分值构成</w:t>
            </w:r>
          </w:p>
        </w:tc>
        <w:tc>
          <w:tcPr>
            <w:tcW w:w="7279" w:type="dxa"/>
            <w:vAlign w:val="center"/>
          </w:tcPr>
          <w:p>
            <w:pPr>
              <w:autoSpaceDE w:val="0"/>
              <w:autoSpaceDN w:val="0"/>
              <w:adjustRightInd w:val="0"/>
              <w:spacing w:line="276" w:lineRule="auto"/>
              <w:ind w:left="107" w:firstLine="241"/>
              <w:jc w:val="left"/>
              <w:rPr>
                <w:rFonts w:hint="eastAsia" w:ascii="宋体" w:hAnsi="宋体"/>
                <w:b/>
                <w:kern w:val="0"/>
                <w:sz w:val="24"/>
                <w:szCs w:val="24"/>
              </w:rPr>
            </w:pPr>
            <w:r>
              <w:rPr>
                <w:rFonts w:hint="eastAsia" w:ascii="宋体" w:hAnsi="宋体"/>
                <w:b/>
                <w:kern w:val="0"/>
                <w:sz w:val="24"/>
                <w:szCs w:val="24"/>
              </w:rPr>
              <w:t>第一信封（商务及技术文件）评分分值构成：</w:t>
            </w:r>
          </w:p>
          <w:p>
            <w:pPr>
              <w:autoSpaceDE w:val="0"/>
              <w:autoSpaceDN w:val="0"/>
              <w:adjustRightInd w:val="0"/>
              <w:spacing w:line="276" w:lineRule="auto"/>
              <w:ind w:left="107" w:firstLine="240"/>
              <w:jc w:val="left"/>
              <w:rPr>
                <w:rFonts w:hint="eastAsia" w:ascii="宋体" w:hAnsi="宋体" w:cs="宋?"/>
                <w:kern w:val="0"/>
                <w:sz w:val="24"/>
                <w:szCs w:val="24"/>
              </w:rPr>
            </w:pPr>
            <w:r>
              <w:rPr>
                <w:rFonts w:hint="eastAsia" w:ascii="宋体" w:hAnsi="宋体" w:cs="宋?"/>
                <w:kern w:val="0"/>
                <w:sz w:val="24"/>
                <w:szCs w:val="24"/>
              </w:rPr>
              <w:t>技术建议书：45</w:t>
            </w:r>
            <w:r>
              <w:rPr>
                <w:rFonts w:ascii="宋体" w:hAnsi="宋体" w:cs="宋?"/>
                <w:kern w:val="0"/>
                <w:sz w:val="24"/>
                <w:szCs w:val="24"/>
              </w:rPr>
              <w:t>分</w:t>
            </w:r>
          </w:p>
          <w:p>
            <w:pPr>
              <w:autoSpaceDE w:val="0"/>
              <w:autoSpaceDN w:val="0"/>
              <w:adjustRightInd w:val="0"/>
              <w:spacing w:line="276" w:lineRule="auto"/>
              <w:ind w:left="107" w:firstLine="240"/>
              <w:jc w:val="left"/>
              <w:rPr>
                <w:rFonts w:hint="eastAsia" w:ascii="宋体" w:hAnsi="宋体"/>
                <w:kern w:val="0"/>
                <w:sz w:val="24"/>
                <w:szCs w:val="24"/>
              </w:rPr>
            </w:pPr>
            <w:r>
              <w:rPr>
                <w:rFonts w:hint="eastAsia" w:ascii="宋体" w:hAnsi="宋体"/>
                <w:kern w:val="0"/>
                <w:sz w:val="24"/>
                <w:szCs w:val="24"/>
              </w:rPr>
              <w:t>主要人员：20分</w:t>
            </w:r>
          </w:p>
          <w:p>
            <w:pPr>
              <w:autoSpaceDE w:val="0"/>
              <w:autoSpaceDN w:val="0"/>
              <w:adjustRightInd w:val="0"/>
              <w:spacing w:line="276" w:lineRule="auto"/>
              <w:ind w:left="107" w:firstLine="240"/>
              <w:jc w:val="left"/>
              <w:rPr>
                <w:rFonts w:hint="eastAsia" w:ascii="宋体" w:hAnsi="宋体"/>
                <w:kern w:val="0"/>
                <w:sz w:val="24"/>
                <w:szCs w:val="24"/>
              </w:rPr>
            </w:pPr>
            <w:r>
              <w:rPr>
                <w:rFonts w:hint="eastAsia" w:ascii="宋体" w:hAnsi="宋体"/>
                <w:kern w:val="0"/>
                <w:sz w:val="24"/>
                <w:szCs w:val="24"/>
              </w:rPr>
              <w:t>其他因素：</w:t>
            </w:r>
            <w:r>
              <w:rPr>
                <w:rFonts w:ascii="宋体" w:hAnsi="宋体"/>
                <w:kern w:val="0"/>
                <w:sz w:val="24"/>
                <w:szCs w:val="24"/>
              </w:rPr>
              <w:t>25分</w:t>
            </w:r>
          </w:p>
          <w:p>
            <w:pPr>
              <w:autoSpaceDE w:val="0"/>
              <w:autoSpaceDN w:val="0"/>
              <w:adjustRightInd w:val="0"/>
              <w:spacing w:line="276" w:lineRule="auto"/>
              <w:ind w:left="107" w:firstLine="241"/>
              <w:jc w:val="left"/>
              <w:rPr>
                <w:rFonts w:hint="eastAsia" w:ascii="宋体" w:hAnsi="宋体"/>
                <w:b/>
                <w:kern w:val="0"/>
                <w:sz w:val="24"/>
                <w:szCs w:val="24"/>
              </w:rPr>
            </w:pPr>
            <w:r>
              <w:rPr>
                <w:rFonts w:hint="eastAsia" w:ascii="宋体" w:hAnsi="宋体"/>
                <w:b/>
                <w:kern w:val="0"/>
                <w:sz w:val="24"/>
                <w:szCs w:val="24"/>
              </w:rPr>
              <w:t>第二信封（报价文件）评分分值构成：</w:t>
            </w:r>
          </w:p>
          <w:p>
            <w:pPr>
              <w:autoSpaceDE w:val="0"/>
              <w:autoSpaceDN w:val="0"/>
              <w:adjustRightInd w:val="0"/>
              <w:spacing w:line="276" w:lineRule="auto"/>
              <w:ind w:left="107" w:firstLine="240"/>
              <w:jc w:val="left"/>
              <w:rPr>
                <w:rFonts w:hint="eastAsia" w:ascii="宋体" w:hAnsi="宋体"/>
                <w:sz w:val="24"/>
                <w:szCs w:val="24"/>
              </w:rPr>
            </w:pPr>
            <w:r>
              <w:rPr>
                <w:rFonts w:hint="eastAsia" w:ascii="宋体" w:hAnsi="宋体"/>
                <w:sz w:val="24"/>
                <w:szCs w:val="24"/>
              </w:rPr>
              <w:t>评标价：</w:t>
            </w:r>
            <w:r>
              <w:rPr>
                <w:rFonts w:ascii="宋体" w:hAnsi="宋体"/>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72" w:type="dxa"/>
            <w:vAlign w:val="center"/>
          </w:tcPr>
          <w:p>
            <w:pPr>
              <w:spacing w:line="276" w:lineRule="auto"/>
              <w:ind w:right="113" w:firstLine="240"/>
              <w:jc w:val="center"/>
              <w:rPr>
                <w:rFonts w:hint="eastAsia" w:ascii="宋体" w:hAnsi="宋体"/>
                <w:sz w:val="24"/>
                <w:szCs w:val="24"/>
              </w:rPr>
            </w:pPr>
            <w:r>
              <w:rPr>
                <w:rFonts w:ascii="宋体" w:hAnsi="宋体"/>
                <w:sz w:val="24"/>
                <w:szCs w:val="24"/>
              </w:rPr>
              <w:t>2.2.2</w:t>
            </w:r>
          </w:p>
        </w:tc>
        <w:tc>
          <w:tcPr>
            <w:tcW w:w="1277" w:type="dxa"/>
            <w:vAlign w:val="center"/>
          </w:tcPr>
          <w:p>
            <w:pPr>
              <w:spacing w:line="276" w:lineRule="auto"/>
              <w:ind w:right="113" w:firstLine="240"/>
              <w:rPr>
                <w:rFonts w:hint="eastAsia" w:ascii="宋体" w:hAnsi="宋体"/>
                <w:sz w:val="24"/>
                <w:szCs w:val="24"/>
              </w:rPr>
            </w:pPr>
            <w:r>
              <w:rPr>
                <w:rFonts w:hint="eastAsia" w:ascii="宋体" w:hAnsi="宋体"/>
                <w:sz w:val="24"/>
                <w:szCs w:val="24"/>
              </w:rPr>
              <w:t>评标基准价计算方法</w:t>
            </w:r>
          </w:p>
        </w:tc>
        <w:tc>
          <w:tcPr>
            <w:tcW w:w="7279" w:type="dxa"/>
            <w:vAlign w:val="center"/>
          </w:tcPr>
          <w:p>
            <w:pPr>
              <w:snapToGrid w:val="0"/>
              <w:spacing w:line="320" w:lineRule="exact"/>
              <w:jc w:val="left"/>
              <w:rPr>
                <w:rFonts w:hint="eastAsia" w:ascii="宋体" w:hAnsi="宋体"/>
                <w:b/>
                <w:kern w:val="2"/>
                <w:sz w:val="24"/>
                <w:szCs w:val="24"/>
              </w:rPr>
            </w:pPr>
            <w:r>
              <w:rPr>
                <w:rFonts w:hint="eastAsia" w:ascii="宋体" w:hAnsi="宋体"/>
                <w:b/>
                <w:kern w:val="2"/>
                <w:sz w:val="24"/>
                <w:szCs w:val="24"/>
              </w:rPr>
              <w:t>评标基准价的计算：</w:t>
            </w:r>
          </w:p>
          <w:p>
            <w:pPr>
              <w:snapToGrid w:val="0"/>
              <w:spacing w:line="320" w:lineRule="exact"/>
              <w:ind w:right="-105"/>
              <w:rPr>
                <w:rFonts w:hint="eastAsia" w:ascii="宋体" w:hAnsi="宋体"/>
                <w:kern w:val="2"/>
                <w:sz w:val="24"/>
                <w:szCs w:val="24"/>
              </w:rPr>
            </w:pPr>
            <w:r>
              <w:rPr>
                <w:rFonts w:hint="eastAsia" w:ascii="宋体" w:hAnsi="宋体"/>
                <w:kern w:val="2"/>
                <w:sz w:val="24"/>
                <w:szCs w:val="24"/>
              </w:rPr>
              <w:t>在开标现场，招标人将当场计算并宣布评标基准价。</w:t>
            </w:r>
          </w:p>
          <w:p>
            <w:pPr>
              <w:snapToGrid w:val="0"/>
              <w:spacing w:line="320" w:lineRule="exact"/>
              <w:ind w:left="113" w:right="-105" w:firstLine="240" w:firstLineChars="100"/>
              <w:rPr>
                <w:rFonts w:hint="eastAsia" w:ascii="宋体" w:hAnsi="宋体"/>
                <w:kern w:val="2"/>
                <w:sz w:val="24"/>
                <w:szCs w:val="24"/>
              </w:rPr>
            </w:pPr>
            <w:r>
              <w:rPr>
                <w:rFonts w:hint="eastAsia" w:ascii="宋体" w:hAnsi="宋体"/>
                <w:kern w:val="2"/>
                <w:sz w:val="24"/>
                <w:szCs w:val="24"/>
              </w:rPr>
              <w:t>（1）评标价的确定：</w:t>
            </w:r>
          </w:p>
          <w:p>
            <w:pPr>
              <w:snapToGrid w:val="0"/>
              <w:spacing w:line="320" w:lineRule="exact"/>
              <w:ind w:left="113" w:right="-105" w:firstLine="240" w:firstLineChars="100"/>
              <w:rPr>
                <w:rFonts w:hint="eastAsia" w:ascii="宋体" w:hAnsi="宋体"/>
                <w:kern w:val="2"/>
                <w:sz w:val="24"/>
                <w:szCs w:val="24"/>
              </w:rPr>
            </w:pPr>
            <w:r>
              <w:rPr>
                <w:rFonts w:hint="eastAsia" w:ascii="宋体" w:hAnsi="宋体"/>
                <w:kern w:val="2"/>
                <w:sz w:val="24"/>
                <w:szCs w:val="24"/>
              </w:rPr>
              <w:t>评标价=投标函文字报价</w:t>
            </w:r>
          </w:p>
          <w:p>
            <w:pPr>
              <w:snapToGrid w:val="0"/>
              <w:spacing w:line="320" w:lineRule="exact"/>
              <w:ind w:left="113" w:right="-105" w:firstLine="240" w:firstLineChars="100"/>
              <w:rPr>
                <w:rFonts w:hint="eastAsia" w:ascii="宋体" w:hAnsi="宋体"/>
                <w:kern w:val="2"/>
                <w:sz w:val="24"/>
                <w:szCs w:val="24"/>
              </w:rPr>
            </w:pPr>
            <w:r>
              <w:rPr>
                <w:rFonts w:hint="eastAsia" w:ascii="宋体" w:hAnsi="宋体"/>
                <w:kern w:val="2"/>
                <w:sz w:val="24"/>
                <w:szCs w:val="24"/>
              </w:rPr>
              <w:t>（2）评标价平均值的计算：</w:t>
            </w:r>
          </w:p>
          <w:p>
            <w:pPr>
              <w:snapToGrid w:val="0"/>
              <w:spacing w:line="320" w:lineRule="exact"/>
              <w:ind w:right="-105" w:firstLine="487" w:firstLineChars="203"/>
              <w:rPr>
                <w:rFonts w:hint="eastAsia" w:ascii="宋体" w:hAnsi="宋体"/>
                <w:kern w:val="2"/>
                <w:sz w:val="24"/>
                <w:szCs w:val="24"/>
              </w:rPr>
            </w:pPr>
            <w:r>
              <w:rPr>
                <w:rFonts w:hint="eastAsia" w:ascii="宋体" w:hAnsi="宋体"/>
                <w:kern w:val="2"/>
                <w:sz w:val="24"/>
                <w:szCs w:val="24"/>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05" w:firstLine="487" w:firstLineChars="203"/>
              <w:rPr>
                <w:rFonts w:hint="eastAsia" w:ascii="宋体" w:hAnsi="宋体"/>
                <w:kern w:val="2"/>
                <w:sz w:val="24"/>
                <w:szCs w:val="24"/>
              </w:rPr>
            </w:pPr>
            <w:r>
              <w:rPr>
                <w:rFonts w:hint="eastAsia" w:ascii="宋体" w:hAnsi="宋体"/>
                <w:kern w:val="2"/>
                <w:sz w:val="24"/>
                <w:szCs w:val="24"/>
              </w:rPr>
              <w:t>（3）评标基准价的确定：</w:t>
            </w:r>
          </w:p>
          <w:p>
            <w:pPr>
              <w:snapToGrid w:val="0"/>
              <w:spacing w:line="320" w:lineRule="exact"/>
              <w:ind w:right="-105" w:firstLine="487" w:firstLineChars="203"/>
              <w:rPr>
                <w:rFonts w:hint="eastAsia" w:ascii="宋体" w:hAnsi="宋体"/>
                <w:kern w:val="2"/>
                <w:sz w:val="24"/>
                <w:szCs w:val="24"/>
              </w:rPr>
            </w:pPr>
            <w:r>
              <w:rPr>
                <w:rFonts w:hint="eastAsia" w:ascii="宋体" w:hAnsi="宋体"/>
                <w:kern w:val="2"/>
                <w:sz w:val="24"/>
                <w:szCs w:val="24"/>
              </w:rPr>
              <w:t>将评标价平均值直接作为评标基准价（评标基准价保留小数点后两位，小数点后第三位四舍五入）。</w:t>
            </w:r>
          </w:p>
          <w:p>
            <w:pPr>
              <w:spacing w:line="276" w:lineRule="auto"/>
              <w:ind w:left="1" w:leftChars="-14" w:right="113" w:hanging="40" w:hangingChars="17"/>
              <w:rPr>
                <w:rFonts w:hint="eastAsia" w:ascii="宋体" w:hAnsi="宋体"/>
                <w:sz w:val="24"/>
                <w:szCs w:val="24"/>
              </w:rPr>
            </w:pPr>
            <w:r>
              <w:rPr>
                <w:rFonts w:hint="eastAsia" w:ascii="宋体" w:hAnsi="宋体"/>
                <w:kern w:val="2"/>
                <w:sz w:val="24"/>
                <w:szCs w:val="24"/>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Align w:val="center"/>
          </w:tcPr>
          <w:p>
            <w:pPr>
              <w:spacing w:line="276" w:lineRule="auto"/>
              <w:ind w:right="113" w:firstLine="240"/>
              <w:jc w:val="center"/>
              <w:rPr>
                <w:rFonts w:hint="eastAsia" w:ascii="宋体" w:hAnsi="宋体"/>
                <w:sz w:val="24"/>
                <w:szCs w:val="24"/>
              </w:rPr>
            </w:pPr>
            <w:r>
              <w:rPr>
                <w:rFonts w:ascii="宋体" w:hAnsi="宋体"/>
                <w:sz w:val="24"/>
                <w:szCs w:val="24"/>
              </w:rPr>
              <w:t>2.2.3</w:t>
            </w:r>
          </w:p>
        </w:tc>
        <w:tc>
          <w:tcPr>
            <w:tcW w:w="1277" w:type="dxa"/>
            <w:vAlign w:val="center"/>
          </w:tcPr>
          <w:p>
            <w:pPr>
              <w:spacing w:line="276" w:lineRule="auto"/>
              <w:ind w:left="113" w:right="113" w:firstLine="240"/>
              <w:rPr>
                <w:rFonts w:hint="eastAsia" w:ascii="宋体" w:hAnsi="宋体"/>
                <w:sz w:val="24"/>
                <w:szCs w:val="24"/>
              </w:rPr>
            </w:pPr>
            <w:r>
              <w:rPr>
                <w:rFonts w:hint="eastAsia" w:ascii="宋体" w:hAnsi="宋体"/>
                <w:sz w:val="24"/>
                <w:szCs w:val="24"/>
              </w:rPr>
              <w:t>评标价的偏差率计算公式</w:t>
            </w:r>
          </w:p>
        </w:tc>
        <w:tc>
          <w:tcPr>
            <w:tcW w:w="7279" w:type="dxa"/>
            <w:vAlign w:val="center"/>
          </w:tcPr>
          <w:p>
            <w:pPr>
              <w:spacing w:line="276" w:lineRule="auto"/>
              <w:ind w:right="113" w:firstLine="240"/>
              <w:rPr>
                <w:rFonts w:hint="eastAsia" w:ascii="宋体" w:hAnsi="宋体"/>
                <w:sz w:val="24"/>
                <w:szCs w:val="24"/>
              </w:rPr>
            </w:pPr>
            <w:r>
              <w:rPr>
                <w:rFonts w:hint="eastAsia" w:ascii="宋体" w:hAnsi="宋体"/>
                <w:sz w:val="24"/>
                <w:szCs w:val="24"/>
              </w:rPr>
              <w:t>偏差率</w:t>
            </w:r>
            <w:r>
              <w:rPr>
                <w:rFonts w:ascii="宋体" w:hAnsi="宋体"/>
                <w:sz w:val="24"/>
                <w:szCs w:val="24"/>
              </w:rPr>
              <w:t>=100%×（投标人评标价-评标基准价）/评标基准价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Align w:val="center"/>
          </w:tcPr>
          <w:p>
            <w:pPr>
              <w:spacing w:line="276" w:lineRule="auto"/>
              <w:ind w:left="113" w:right="113" w:firstLine="240"/>
              <w:rPr>
                <w:rFonts w:hint="eastAsia" w:ascii="宋体" w:hAnsi="宋体"/>
                <w:sz w:val="24"/>
                <w:szCs w:val="24"/>
              </w:rPr>
            </w:pPr>
            <w:r>
              <w:rPr>
                <w:rFonts w:hint="eastAsia" w:ascii="宋体" w:hAnsi="宋体"/>
                <w:sz w:val="24"/>
                <w:szCs w:val="24"/>
              </w:rPr>
              <w:t>3.6.1</w:t>
            </w:r>
          </w:p>
        </w:tc>
        <w:tc>
          <w:tcPr>
            <w:tcW w:w="1277" w:type="dxa"/>
            <w:vAlign w:val="center"/>
          </w:tcPr>
          <w:p>
            <w:pPr>
              <w:spacing w:line="276" w:lineRule="auto"/>
              <w:ind w:left="113" w:right="113" w:firstLine="240"/>
              <w:rPr>
                <w:rFonts w:hint="eastAsia" w:ascii="宋体" w:hAnsi="宋体"/>
                <w:sz w:val="24"/>
                <w:szCs w:val="24"/>
              </w:rPr>
            </w:pPr>
            <w:r>
              <w:rPr>
                <w:rFonts w:hint="eastAsia" w:ascii="宋体" w:hAnsi="宋体"/>
                <w:sz w:val="24"/>
                <w:szCs w:val="24"/>
              </w:rPr>
              <w:t>投标文件相关信息的核查</w:t>
            </w:r>
          </w:p>
        </w:tc>
        <w:tc>
          <w:tcPr>
            <w:tcW w:w="7279" w:type="dxa"/>
            <w:vAlign w:val="center"/>
          </w:tcPr>
          <w:p>
            <w:pPr>
              <w:spacing w:line="276" w:lineRule="auto"/>
              <w:ind w:right="113" w:firstLine="240"/>
              <w:rPr>
                <w:rFonts w:hint="eastAsia" w:ascii="宋体" w:hAnsi="宋体"/>
                <w:sz w:val="24"/>
                <w:szCs w:val="24"/>
              </w:rPr>
            </w:pPr>
            <w:r>
              <w:rPr>
                <w:rFonts w:hint="eastAsia" w:ascii="宋体" w:hAnsi="宋体"/>
                <w:sz w:val="24"/>
                <w:szCs w:val="24"/>
              </w:rPr>
              <w:t>本款修改为：</w:t>
            </w:r>
          </w:p>
          <w:p>
            <w:pPr>
              <w:spacing w:line="276" w:lineRule="auto"/>
              <w:ind w:right="113" w:firstLine="240"/>
              <w:rPr>
                <w:rFonts w:hint="eastAsia" w:ascii="宋体" w:hAnsi="宋体"/>
                <w:sz w:val="24"/>
                <w:szCs w:val="24"/>
              </w:rPr>
            </w:pPr>
            <w:r>
              <w:rPr>
                <w:rFonts w:hint="eastAsia" w:ascii="宋体" w:hAnsi="宋体"/>
                <w:sz w:val="24"/>
                <w:szCs w:val="24"/>
              </w:rPr>
              <w:t>（1）在评标过程中，评标委员会应查询投标人在“信用中国”网站被列入失信被执行人名单、异常经营名录、税收违法黑名单、政府采购严重违法失信名单和</w:t>
            </w:r>
            <w:r>
              <w:rPr>
                <w:rFonts w:hint="eastAsia" w:ascii="宋体" w:hAnsi="宋体" w:cs="宋体"/>
                <w:kern w:val="0"/>
                <w:sz w:val="24"/>
              </w:rPr>
              <w:t>安全生产严重失信主体名单</w:t>
            </w:r>
            <w:r>
              <w:rPr>
                <w:rFonts w:hint="eastAsia" w:ascii="宋体" w:hAnsi="宋体"/>
                <w:sz w:val="24"/>
                <w:szCs w:val="24"/>
              </w:rPr>
              <w:t>（均不含分公司）和“国家企业信用信息公示系统”中被列入严重违法失信企业名单的网上公示信息（均不含分公司，事业单位不适用）。若投标文件载明的信息与上述网站发布的信息不符，使得投标人的资格条件不符合招标文件规定的，评标委员会应否决其投标。</w:t>
            </w:r>
          </w:p>
          <w:p>
            <w:pPr>
              <w:spacing w:line="276" w:lineRule="auto"/>
              <w:ind w:right="113" w:firstLine="240"/>
              <w:rPr>
                <w:rFonts w:hint="eastAsia" w:ascii="宋体" w:hAnsi="宋体"/>
                <w:sz w:val="24"/>
                <w:szCs w:val="24"/>
              </w:rPr>
            </w:pPr>
            <w:r>
              <w:rPr>
                <w:rFonts w:hint="eastAsia" w:ascii="宋体" w:hAnsi="宋体"/>
                <w:sz w:val="24"/>
                <w:szCs w:val="24"/>
              </w:rPr>
              <w:t>投标人应保证上述全部截图的真实性，如发现核查结果不一致，视为投标过程中的弄虚作假，按照相关规定处理。投标人应当及时核查并更新政府网站公示的相关信息，并承担由于信息填报不完整或者不准确等原因导致投标可能被否决的后果。</w:t>
            </w:r>
          </w:p>
          <w:p>
            <w:pPr>
              <w:spacing w:line="276" w:lineRule="auto"/>
              <w:ind w:right="113" w:firstLine="240"/>
              <w:rPr>
                <w:rFonts w:hint="eastAsia" w:ascii="宋体" w:hAnsi="宋体"/>
                <w:sz w:val="24"/>
                <w:szCs w:val="24"/>
              </w:rPr>
            </w:pPr>
            <w:r>
              <w:rPr>
                <w:rFonts w:hint="eastAsia" w:ascii="宋体" w:hAnsi="宋体"/>
                <w:sz w:val="24"/>
                <w:szCs w:val="24"/>
              </w:rPr>
              <w:t>（2）评标委员会在评标时按照投标人提供的验证方式对电子担保保函或电子保证保险进行验证。如投标人未提供电子银行保函或电子担保保函或电子保证保险在线验证方式，或根据提供的验证方式无法核实的，评标委员会可以否决其投标。</w:t>
            </w:r>
          </w:p>
        </w:tc>
      </w:tr>
    </w:tbl>
    <w:p>
      <w:pPr>
        <w:spacing w:line="480" w:lineRule="exact"/>
        <w:ind w:firstLine="11340" w:firstLineChars="4050"/>
        <w:rPr>
          <w:rFonts w:hint="eastAsia" w:ascii="宋体" w:hAnsi="宋体"/>
          <w:szCs w:val="21"/>
        </w:rPr>
      </w:pPr>
    </w:p>
    <w:p>
      <w:pPr>
        <w:spacing w:line="480" w:lineRule="exact"/>
        <w:ind w:firstLine="11340" w:firstLineChars="4050"/>
        <w:rPr>
          <w:rFonts w:hint="eastAsia" w:ascii="宋体" w:hAnsi="宋体"/>
          <w:szCs w:val="21"/>
        </w:rPr>
      </w:pPr>
      <w:r>
        <w:rPr>
          <w:rFonts w:ascii="宋体" w:hAnsi="宋体"/>
          <w:szCs w:val="21"/>
        </w:rPr>
        <w:br w:type="page"/>
      </w:r>
    </w:p>
    <w:p>
      <w:pPr>
        <w:spacing w:line="480" w:lineRule="exact"/>
        <w:ind w:firstLine="240"/>
        <w:jc w:val="right"/>
        <w:rPr>
          <w:rFonts w:hint="eastAsia" w:ascii="宋体" w:hAnsi="宋体"/>
          <w:szCs w:val="21"/>
        </w:rPr>
      </w:pPr>
      <w:r>
        <w:rPr>
          <w:rFonts w:hint="eastAsia" w:ascii="宋体" w:hAnsi="宋体"/>
          <w:sz w:val="24"/>
        </w:rPr>
        <w:t>续上表</w:t>
      </w:r>
    </w:p>
    <w:tbl>
      <w:tblPr>
        <w:tblStyle w:val="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831"/>
        <w:gridCol w:w="1209"/>
        <w:gridCol w:w="634"/>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156" w:type="dxa"/>
            <w:gridSpan w:val="5"/>
            <w:vAlign w:val="center"/>
          </w:tcPr>
          <w:p>
            <w:pPr>
              <w:pStyle w:val="5"/>
              <w:spacing w:line="276" w:lineRule="auto"/>
              <w:ind w:firstLine="240"/>
              <w:jc w:val="center"/>
              <w:rPr>
                <w:rFonts w:hint="eastAsia" w:hAnsi="宋体"/>
                <w:sz w:val="24"/>
                <w:szCs w:val="24"/>
              </w:rPr>
            </w:pPr>
            <w:r>
              <w:rPr>
                <w:rFonts w:hint="eastAsia" w:hAnsi="宋体"/>
                <w:sz w:val="24"/>
                <w:szCs w:val="24"/>
              </w:rPr>
              <w:t>评分因素与权重分值</w:t>
            </w:r>
          </w:p>
        </w:tc>
        <w:tc>
          <w:tcPr>
            <w:tcW w:w="5410" w:type="dxa"/>
            <w:vMerge w:val="restart"/>
            <w:vAlign w:val="center"/>
          </w:tcPr>
          <w:p>
            <w:pPr>
              <w:pStyle w:val="5"/>
              <w:spacing w:line="276" w:lineRule="auto"/>
              <w:ind w:firstLine="240"/>
              <w:jc w:val="center"/>
              <w:rPr>
                <w:rFonts w:hint="eastAsia" w:hAnsi="宋体"/>
                <w:sz w:val="24"/>
                <w:szCs w:val="24"/>
              </w:rPr>
            </w:pPr>
            <w:r>
              <w:rPr>
                <w:rFonts w:hint="eastAsia" w:hAnsi="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1" w:type="dxa"/>
            <w:vAlign w:val="center"/>
          </w:tcPr>
          <w:p>
            <w:pPr>
              <w:pStyle w:val="5"/>
              <w:spacing w:line="480" w:lineRule="exact"/>
              <w:rPr>
                <w:rFonts w:hint="eastAsia" w:hAnsi="宋体"/>
                <w:sz w:val="24"/>
                <w:szCs w:val="24"/>
              </w:rPr>
            </w:pPr>
            <w:r>
              <w:rPr>
                <w:rFonts w:hint="eastAsia" w:hAnsi="宋体"/>
                <w:sz w:val="24"/>
                <w:szCs w:val="24"/>
              </w:rPr>
              <w:t>条款号</w:t>
            </w:r>
          </w:p>
        </w:tc>
        <w:tc>
          <w:tcPr>
            <w:tcW w:w="741" w:type="dxa"/>
            <w:vAlign w:val="center"/>
          </w:tcPr>
          <w:p>
            <w:pPr>
              <w:pStyle w:val="5"/>
              <w:spacing w:line="480" w:lineRule="exact"/>
              <w:rPr>
                <w:rFonts w:hint="eastAsia" w:hAnsi="宋体"/>
                <w:sz w:val="24"/>
                <w:szCs w:val="24"/>
              </w:rPr>
            </w:pPr>
            <w:r>
              <w:rPr>
                <w:rFonts w:hint="eastAsia" w:hAnsi="宋体"/>
                <w:sz w:val="24"/>
                <w:szCs w:val="24"/>
              </w:rPr>
              <w:t>评分因素</w:t>
            </w:r>
          </w:p>
        </w:tc>
        <w:tc>
          <w:tcPr>
            <w:tcW w:w="831" w:type="dxa"/>
            <w:vAlign w:val="center"/>
          </w:tcPr>
          <w:p>
            <w:pPr>
              <w:pStyle w:val="5"/>
              <w:spacing w:line="276" w:lineRule="auto"/>
              <w:rPr>
                <w:rFonts w:hint="eastAsia" w:hAnsi="宋体"/>
                <w:sz w:val="24"/>
                <w:szCs w:val="24"/>
              </w:rPr>
            </w:pPr>
            <w:r>
              <w:rPr>
                <w:rFonts w:hint="eastAsia" w:hAnsi="宋体"/>
                <w:sz w:val="24"/>
                <w:szCs w:val="24"/>
              </w:rPr>
              <w:t>评分因素</w:t>
            </w:r>
            <w:r>
              <w:rPr>
                <w:rFonts w:hAnsi="宋体"/>
                <w:sz w:val="24"/>
                <w:szCs w:val="24"/>
              </w:rPr>
              <w:t xml:space="preserve"> </w:t>
            </w:r>
            <w:r>
              <w:rPr>
                <w:rFonts w:hint="eastAsia" w:hAnsi="宋体"/>
                <w:sz w:val="24"/>
                <w:szCs w:val="24"/>
              </w:rPr>
              <w:t>权重分值</w:t>
            </w:r>
          </w:p>
        </w:tc>
        <w:tc>
          <w:tcPr>
            <w:tcW w:w="1209" w:type="dxa"/>
            <w:vAlign w:val="center"/>
          </w:tcPr>
          <w:p>
            <w:pPr>
              <w:pStyle w:val="5"/>
              <w:spacing w:line="276" w:lineRule="auto"/>
              <w:rPr>
                <w:rFonts w:hint="eastAsia" w:hAnsi="宋体"/>
                <w:sz w:val="24"/>
                <w:szCs w:val="24"/>
              </w:rPr>
            </w:pPr>
            <w:r>
              <w:rPr>
                <w:rStyle w:val="11"/>
                <w:color w:val="auto"/>
                <w:sz w:val="24"/>
                <w:szCs w:val="24"/>
              </w:rPr>
              <w:t>各评分因素细分项</w:t>
            </w:r>
          </w:p>
        </w:tc>
        <w:tc>
          <w:tcPr>
            <w:tcW w:w="634" w:type="dxa"/>
            <w:vAlign w:val="center"/>
          </w:tcPr>
          <w:p>
            <w:pPr>
              <w:pStyle w:val="5"/>
              <w:spacing w:line="276" w:lineRule="auto"/>
              <w:rPr>
                <w:rFonts w:hint="eastAsia" w:hAnsi="宋体"/>
                <w:sz w:val="24"/>
                <w:szCs w:val="24"/>
              </w:rPr>
            </w:pPr>
            <w:r>
              <w:rPr>
                <w:rFonts w:hint="eastAsia" w:hAnsi="宋体"/>
                <w:sz w:val="24"/>
                <w:szCs w:val="24"/>
              </w:rPr>
              <w:t>分值</w:t>
            </w:r>
          </w:p>
        </w:tc>
        <w:tc>
          <w:tcPr>
            <w:tcW w:w="5410" w:type="dxa"/>
            <w:vMerge w:val="continue"/>
            <w:vAlign w:val="center"/>
          </w:tcPr>
          <w:p>
            <w:pPr>
              <w:pStyle w:val="5"/>
              <w:spacing w:line="276" w:lineRule="auto"/>
              <w:ind w:firstLine="240"/>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restart"/>
            <w:vAlign w:val="center"/>
          </w:tcPr>
          <w:p>
            <w:pPr>
              <w:pStyle w:val="5"/>
              <w:spacing w:line="480" w:lineRule="exact"/>
              <w:ind w:firstLine="240"/>
              <w:jc w:val="center"/>
              <w:rPr>
                <w:rFonts w:hint="eastAsia" w:hAnsi="宋体"/>
                <w:sz w:val="24"/>
                <w:szCs w:val="24"/>
              </w:rPr>
            </w:pPr>
            <w:r>
              <w:rPr>
                <w:rFonts w:hAnsi="宋体"/>
                <w:sz w:val="24"/>
                <w:szCs w:val="24"/>
              </w:rPr>
              <w:t>2.2.4（1）</w:t>
            </w:r>
          </w:p>
        </w:tc>
        <w:tc>
          <w:tcPr>
            <w:tcW w:w="741" w:type="dxa"/>
            <w:vMerge w:val="restart"/>
            <w:vAlign w:val="center"/>
          </w:tcPr>
          <w:p>
            <w:pPr>
              <w:pStyle w:val="5"/>
              <w:spacing w:line="480" w:lineRule="exact"/>
              <w:jc w:val="center"/>
              <w:rPr>
                <w:rFonts w:hint="eastAsia" w:hAnsi="宋体"/>
                <w:sz w:val="24"/>
                <w:szCs w:val="24"/>
              </w:rPr>
            </w:pPr>
            <w:r>
              <w:rPr>
                <w:rFonts w:hint="eastAsia" w:hAnsi="宋体"/>
                <w:sz w:val="24"/>
                <w:szCs w:val="24"/>
              </w:rPr>
              <w:t>技术建议书</w:t>
            </w:r>
          </w:p>
        </w:tc>
        <w:tc>
          <w:tcPr>
            <w:tcW w:w="831" w:type="dxa"/>
            <w:vMerge w:val="restart"/>
            <w:vAlign w:val="center"/>
          </w:tcPr>
          <w:p>
            <w:pPr>
              <w:pStyle w:val="5"/>
              <w:spacing w:line="276" w:lineRule="auto"/>
              <w:rPr>
                <w:rFonts w:hint="eastAsia" w:hAnsi="宋体"/>
                <w:sz w:val="24"/>
                <w:szCs w:val="24"/>
              </w:rPr>
            </w:pPr>
            <w:r>
              <w:rPr>
                <w:rFonts w:hint="eastAsia" w:hAnsi="宋体"/>
                <w:sz w:val="24"/>
                <w:szCs w:val="24"/>
              </w:rPr>
              <w:t>45分</w:t>
            </w:r>
          </w:p>
        </w:tc>
        <w:tc>
          <w:tcPr>
            <w:tcW w:w="1209" w:type="dxa"/>
            <w:vMerge w:val="restart"/>
            <w:vAlign w:val="center"/>
          </w:tcPr>
          <w:p>
            <w:pPr>
              <w:pStyle w:val="5"/>
              <w:spacing w:line="276" w:lineRule="auto"/>
              <w:jc w:val="center"/>
              <w:rPr>
                <w:rFonts w:hint="eastAsia" w:hAnsi="宋体"/>
                <w:sz w:val="24"/>
                <w:szCs w:val="24"/>
              </w:rPr>
            </w:pPr>
            <w:r>
              <w:rPr>
                <w:rFonts w:hint="eastAsia" w:hAnsi="宋体"/>
                <w:sz w:val="24"/>
                <w:szCs w:val="24"/>
              </w:rPr>
              <w:t>对本项目的特点、关键技术问题的认识及其对策措施</w:t>
            </w:r>
          </w:p>
        </w:tc>
        <w:tc>
          <w:tcPr>
            <w:tcW w:w="634" w:type="dxa"/>
            <w:vMerge w:val="restart"/>
            <w:vAlign w:val="center"/>
          </w:tcPr>
          <w:p>
            <w:pPr>
              <w:pStyle w:val="5"/>
              <w:spacing w:line="276" w:lineRule="auto"/>
              <w:rPr>
                <w:rFonts w:hint="eastAsia" w:hAnsi="宋体"/>
                <w:sz w:val="24"/>
                <w:szCs w:val="24"/>
              </w:rPr>
            </w:pPr>
            <w:r>
              <w:rPr>
                <w:rFonts w:hAnsi="宋体"/>
                <w:sz w:val="24"/>
                <w:szCs w:val="24"/>
              </w:rPr>
              <w:t>1</w:t>
            </w:r>
            <w:r>
              <w:rPr>
                <w:rFonts w:hint="eastAsia" w:hAnsi="宋体"/>
                <w:sz w:val="24"/>
                <w:szCs w:val="24"/>
              </w:rPr>
              <w:t>5分</w:t>
            </w:r>
          </w:p>
        </w:tc>
        <w:tc>
          <w:tcPr>
            <w:tcW w:w="5410" w:type="dxa"/>
            <w:vAlign w:val="center"/>
          </w:tcPr>
          <w:p>
            <w:pPr>
              <w:adjustRightInd w:val="0"/>
              <w:snapToGrid w:val="0"/>
              <w:spacing w:line="276" w:lineRule="auto"/>
              <w:rPr>
                <w:rFonts w:hint="eastAsia" w:ascii="宋体" w:hAnsi="宋体"/>
                <w:sz w:val="24"/>
                <w:szCs w:val="24"/>
              </w:rPr>
            </w:pPr>
            <w:r>
              <w:rPr>
                <w:rFonts w:hint="eastAsia" w:ascii="宋体" w:hAnsi="宋体"/>
                <w:sz w:val="24"/>
                <w:szCs w:val="24"/>
              </w:rPr>
              <w:t>项目的特点和关键技术问题的针对性一般，技术建议基本可行，得9.0分；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pStyle w:val="5"/>
              <w:spacing w:line="480" w:lineRule="exact"/>
              <w:ind w:firstLine="240"/>
              <w:jc w:val="center"/>
              <w:rPr>
                <w:rFonts w:hint="eastAsia" w:hAnsi="宋体"/>
                <w:sz w:val="24"/>
                <w:szCs w:val="24"/>
              </w:rPr>
            </w:pPr>
          </w:p>
        </w:tc>
        <w:tc>
          <w:tcPr>
            <w:tcW w:w="741" w:type="dxa"/>
            <w:vMerge w:val="continue"/>
            <w:vAlign w:val="center"/>
          </w:tcPr>
          <w:p>
            <w:pPr>
              <w:pStyle w:val="5"/>
              <w:spacing w:line="480" w:lineRule="exact"/>
              <w:ind w:firstLine="240"/>
              <w:jc w:val="center"/>
              <w:rPr>
                <w:rFonts w:hint="eastAsia" w:hAnsi="宋体"/>
                <w:sz w:val="24"/>
                <w:szCs w:val="24"/>
              </w:rPr>
            </w:pPr>
          </w:p>
        </w:tc>
        <w:tc>
          <w:tcPr>
            <w:tcW w:w="831" w:type="dxa"/>
            <w:vMerge w:val="continue"/>
            <w:vAlign w:val="center"/>
          </w:tcPr>
          <w:p>
            <w:pPr>
              <w:pStyle w:val="5"/>
              <w:spacing w:line="276" w:lineRule="auto"/>
              <w:ind w:firstLine="240"/>
              <w:jc w:val="center"/>
              <w:rPr>
                <w:rFonts w:hint="eastAsia" w:hAnsi="宋体"/>
                <w:sz w:val="24"/>
                <w:szCs w:val="24"/>
              </w:rPr>
            </w:pPr>
          </w:p>
        </w:tc>
        <w:tc>
          <w:tcPr>
            <w:tcW w:w="1209" w:type="dxa"/>
            <w:vMerge w:val="continue"/>
          </w:tcPr>
          <w:p>
            <w:pPr>
              <w:pStyle w:val="5"/>
              <w:spacing w:line="276" w:lineRule="auto"/>
              <w:ind w:firstLine="240"/>
              <w:jc w:val="center"/>
              <w:rPr>
                <w:rFonts w:hint="eastAsia" w:hAnsi="宋体"/>
                <w:sz w:val="24"/>
                <w:szCs w:val="24"/>
              </w:rPr>
            </w:pPr>
          </w:p>
        </w:tc>
        <w:tc>
          <w:tcPr>
            <w:tcW w:w="634" w:type="dxa"/>
            <w:vMerge w:val="continue"/>
            <w:vAlign w:val="center"/>
          </w:tcPr>
          <w:p>
            <w:pPr>
              <w:pStyle w:val="5"/>
              <w:spacing w:line="276" w:lineRule="auto"/>
              <w:ind w:firstLine="240"/>
              <w:jc w:val="center"/>
              <w:rPr>
                <w:rFonts w:hint="eastAsia" w:hAnsi="宋体"/>
                <w:sz w:val="24"/>
                <w:szCs w:val="24"/>
              </w:rPr>
            </w:pPr>
          </w:p>
        </w:tc>
        <w:tc>
          <w:tcPr>
            <w:tcW w:w="5410" w:type="dxa"/>
            <w:vAlign w:val="center"/>
          </w:tcPr>
          <w:p>
            <w:pPr>
              <w:pStyle w:val="5"/>
              <w:spacing w:line="276" w:lineRule="auto"/>
              <w:jc w:val="left"/>
              <w:rPr>
                <w:rFonts w:hint="eastAsia" w:hAnsi="宋体"/>
                <w:spacing w:val="-4"/>
                <w:sz w:val="24"/>
                <w:szCs w:val="24"/>
              </w:rPr>
            </w:pPr>
            <w:r>
              <w:rPr>
                <w:rFonts w:hint="eastAsia" w:hAnsi="宋体"/>
                <w:sz w:val="24"/>
                <w:szCs w:val="24"/>
              </w:rPr>
              <w:t>项目的特点和关键技术问题针对性较强，技术建议可行，得9.0－12.0分；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pStyle w:val="5"/>
              <w:spacing w:line="480" w:lineRule="exact"/>
              <w:ind w:firstLine="240"/>
              <w:jc w:val="center"/>
              <w:rPr>
                <w:rFonts w:hint="eastAsia" w:hAnsi="宋体"/>
                <w:sz w:val="24"/>
                <w:szCs w:val="24"/>
              </w:rPr>
            </w:pPr>
          </w:p>
        </w:tc>
        <w:tc>
          <w:tcPr>
            <w:tcW w:w="741" w:type="dxa"/>
            <w:vMerge w:val="continue"/>
            <w:vAlign w:val="center"/>
          </w:tcPr>
          <w:p>
            <w:pPr>
              <w:pStyle w:val="5"/>
              <w:spacing w:line="480" w:lineRule="exact"/>
              <w:ind w:firstLine="240"/>
              <w:jc w:val="center"/>
              <w:rPr>
                <w:rFonts w:hint="eastAsia" w:hAnsi="宋体"/>
                <w:sz w:val="24"/>
                <w:szCs w:val="24"/>
              </w:rPr>
            </w:pPr>
          </w:p>
        </w:tc>
        <w:tc>
          <w:tcPr>
            <w:tcW w:w="831" w:type="dxa"/>
            <w:vMerge w:val="continue"/>
            <w:vAlign w:val="center"/>
          </w:tcPr>
          <w:p>
            <w:pPr>
              <w:pStyle w:val="5"/>
              <w:spacing w:line="276" w:lineRule="auto"/>
              <w:ind w:firstLine="240"/>
              <w:jc w:val="center"/>
              <w:rPr>
                <w:rFonts w:hint="eastAsia" w:hAnsi="宋体"/>
                <w:sz w:val="24"/>
                <w:szCs w:val="24"/>
              </w:rPr>
            </w:pPr>
          </w:p>
        </w:tc>
        <w:tc>
          <w:tcPr>
            <w:tcW w:w="1209" w:type="dxa"/>
            <w:vMerge w:val="continue"/>
          </w:tcPr>
          <w:p>
            <w:pPr>
              <w:pStyle w:val="5"/>
              <w:spacing w:line="276" w:lineRule="auto"/>
              <w:ind w:firstLine="240"/>
              <w:jc w:val="center"/>
              <w:rPr>
                <w:rFonts w:hint="eastAsia" w:hAnsi="宋体"/>
                <w:sz w:val="24"/>
                <w:szCs w:val="24"/>
              </w:rPr>
            </w:pPr>
          </w:p>
        </w:tc>
        <w:tc>
          <w:tcPr>
            <w:tcW w:w="634" w:type="dxa"/>
            <w:vMerge w:val="continue"/>
            <w:vAlign w:val="center"/>
          </w:tcPr>
          <w:p>
            <w:pPr>
              <w:pStyle w:val="5"/>
              <w:spacing w:line="276" w:lineRule="auto"/>
              <w:ind w:firstLine="240"/>
              <w:jc w:val="center"/>
              <w:rPr>
                <w:rFonts w:hint="eastAsia" w:hAnsi="宋体"/>
                <w:sz w:val="24"/>
                <w:szCs w:val="24"/>
              </w:rPr>
            </w:pPr>
          </w:p>
        </w:tc>
        <w:tc>
          <w:tcPr>
            <w:tcW w:w="5410" w:type="dxa"/>
            <w:vAlign w:val="center"/>
          </w:tcPr>
          <w:p>
            <w:pPr>
              <w:pStyle w:val="5"/>
              <w:spacing w:line="276" w:lineRule="auto"/>
              <w:jc w:val="left"/>
              <w:rPr>
                <w:rFonts w:hint="eastAsia" w:hAnsi="宋体"/>
                <w:sz w:val="24"/>
                <w:szCs w:val="24"/>
              </w:rPr>
            </w:pPr>
            <w:r>
              <w:rPr>
                <w:rFonts w:hint="eastAsia" w:hAnsi="宋体"/>
                <w:sz w:val="24"/>
                <w:szCs w:val="24"/>
              </w:rPr>
              <w:t>项目的特点针对性强，关键技术问题对策明确、合理，技术建议科学、有效、可行，得12.0－</w:t>
            </w:r>
            <w:r>
              <w:rPr>
                <w:rFonts w:hAnsi="宋体"/>
                <w:sz w:val="24"/>
                <w:szCs w:val="24"/>
              </w:rPr>
              <w:t>1</w:t>
            </w:r>
            <w:r>
              <w:rPr>
                <w:rFonts w:hint="eastAsia" w:hAnsi="宋体"/>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1" w:type="dxa"/>
            <w:vMerge w:val="continue"/>
            <w:vAlign w:val="center"/>
          </w:tcPr>
          <w:p>
            <w:pPr>
              <w:pStyle w:val="5"/>
              <w:spacing w:line="480" w:lineRule="exact"/>
              <w:ind w:firstLine="240"/>
              <w:jc w:val="center"/>
              <w:rPr>
                <w:rFonts w:hint="eastAsia" w:hAnsi="宋体"/>
                <w:sz w:val="24"/>
                <w:szCs w:val="24"/>
              </w:rPr>
            </w:pPr>
          </w:p>
        </w:tc>
        <w:tc>
          <w:tcPr>
            <w:tcW w:w="741" w:type="dxa"/>
            <w:vMerge w:val="continue"/>
          </w:tcPr>
          <w:p>
            <w:pPr>
              <w:pStyle w:val="5"/>
              <w:spacing w:line="480" w:lineRule="exact"/>
              <w:ind w:firstLine="240"/>
              <w:jc w:val="center"/>
              <w:rPr>
                <w:rFonts w:hint="eastAsia" w:hAnsi="宋体"/>
                <w:sz w:val="24"/>
                <w:szCs w:val="24"/>
              </w:rPr>
            </w:pPr>
          </w:p>
        </w:tc>
        <w:tc>
          <w:tcPr>
            <w:tcW w:w="831" w:type="dxa"/>
            <w:vMerge w:val="continue"/>
            <w:vAlign w:val="center"/>
          </w:tcPr>
          <w:p>
            <w:pPr>
              <w:pStyle w:val="5"/>
              <w:spacing w:line="276" w:lineRule="auto"/>
              <w:ind w:firstLine="240"/>
              <w:jc w:val="center"/>
              <w:rPr>
                <w:rFonts w:hint="eastAsia" w:hAnsi="宋体"/>
                <w:sz w:val="24"/>
                <w:szCs w:val="24"/>
              </w:rPr>
            </w:pPr>
          </w:p>
        </w:tc>
        <w:tc>
          <w:tcPr>
            <w:tcW w:w="1209" w:type="dxa"/>
            <w:vMerge w:val="restart"/>
            <w:vAlign w:val="center"/>
          </w:tcPr>
          <w:p>
            <w:pPr>
              <w:pStyle w:val="5"/>
              <w:spacing w:line="276" w:lineRule="auto"/>
              <w:jc w:val="center"/>
              <w:rPr>
                <w:rFonts w:hint="eastAsia" w:hAnsi="宋体"/>
                <w:sz w:val="24"/>
                <w:szCs w:val="24"/>
              </w:rPr>
            </w:pPr>
            <w:r>
              <w:rPr>
                <w:rFonts w:hint="eastAsia" w:hAnsi="宋体"/>
                <w:sz w:val="24"/>
                <w:szCs w:val="24"/>
              </w:rPr>
              <w:t>工作量及计划安排</w:t>
            </w:r>
          </w:p>
        </w:tc>
        <w:tc>
          <w:tcPr>
            <w:tcW w:w="634" w:type="dxa"/>
            <w:vMerge w:val="restart"/>
            <w:vAlign w:val="center"/>
          </w:tcPr>
          <w:p>
            <w:pPr>
              <w:pStyle w:val="5"/>
              <w:spacing w:line="276" w:lineRule="auto"/>
              <w:rPr>
                <w:rFonts w:hint="eastAsia" w:hAnsi="宋体"/>
                <w:sz w:val="24"/>
                <w:szCs w:val="24"/>
              </w:rPr>
            </w:pPr>
            <w:r>
              <w:rPr>
                <w:rFonts w:hAnsi="宋体"/>
                <w:sz w:val="24"/>
                <w:szCs w:val="24"/>
              </w:rPr>
              <w:t>1</w:t>
            </w:r>
            <w:r>
              <w:rPr>
                <w:rFonts w:hint="eastAsia" w:hAnsi="宋体"/>
                <w:sz w:val="24"/>
                <w:szCs w:val="24"/>
              </w:rPr>
              <w:t>0分</w:t>
            </w:r>
          </w:p>
        </w:tc>
        <w:tc>
          <w:tcPr>
            <w:tcW w:w="5410" w:type="dxa"/>
            <w:vAlign w:val="center"/>
          </w:tcPr>
          <w:p>
            <w:pPr>
              <w:adjustRightInd w:val="0"/>
              <w:snapToGrid w:val="0"/>
              <w:spacing w:line="276" w:lineRule="auto"/>
              <w:rPr>
                <w:rFonts w:hint="eastAsia" w:ascii="宋体" w:hAnsi="宋体"/>
                <w:sz w:val="24"/>
                <w:szCs w:val="24"/>
              </w:rPr>
            </w:pPr>
            <w:r>
              <w:rPr>
                <w:rFonts w:hint="eastAsia" w:ascii="宋体" w:hAnsi="宋体"/>
                <w:sz w:val="24"/>
                <w:szCs w:val="24"/>
              </w:rPr>
              <w:t>工作量及计划安排基本合理，得6.0分；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41" w:type="dxa"/>
            <w:vMerge w:val="continue"/>
          </w:tcPr>
          <w:p>
            <w:pPr>
              <w:pStyle w:val="5"/>
              <w:spacing w:line="480" w:lineRule="exact"/>
              <w:ind w:firstLine="240"/>
              <w:jc w:val="center"/>
              <w:rPr>
                <w:rFonts w:hint="eastAsia" w:hAnsi="宋体"/>
                <w:sz w:val="24"/>
                <w:szCs w:val="24"/>
              </w:rPr>
            </w:pPr>
          </w:p>
        </w:tc>
        <w:tc>
          <w:tcPr>
            <w:tcW w:w="741" w:type="dxa"/>
            <w:vMerge w:val="continue"/>
          </w:tcPr>
          <w:p>
            <w:pPr>
              <w:pStyle w:val="5"/>
              <w:spacing w:line="480" w:lineRule="exact"/>
              <w:ind w:firstLine="240"/>
              <w:jc w:val="center"/>
              <w:rPr>
                <w:rFonts w:hint="eastAsia" w:hAnsi="宋体"/>
                <w:sz w:val="24"/>
                <w:szCs w:val="24"/>
              </w:rPr>
            </w:pPr>
          </w:p>
        </w:tc>
        <w:tc>
          <w:tcPr>
            <w:tcW w:w="831" w:type="dxa"/>
            <w:vMerge w:val="continue"/>
          </w:tcPr>
          <w:p>
            <w:pPr>
              <w:pStyle w:val="5"/>
              <w:spacing w:line="276" w:lineRule="auto"/>
              <w:ind w:firstLine="240"/>
              <w:jc w:val="center"/>
              <w:rPr>
                <w:rFonts w:hint="eastAsia" w:hAnsi="宋体"/>
                <w:sz w:val="24"/>
                <w:szCs w:val="24"/>
              </w:rPr>
            </w:pPr>
          </w:p>
        </w:tc>
        <w:tc>
          <w:tcPr>
            <w:tcW w:w="1209" w:type="dxa"/>
            <w:vMerge w:val="continue"/>
          </w:tcPr>
          <w:p>
            <w:pPr>
              <w:pStyle w:val="5"/>
              <w:spacing w:line="276" w:lineRule="auto"/>
              <w:ind w:firstLine="240"/>
              <w:jc w:val="center"/>
              <w:rPr>
                <w:rFonts w:hint="eastAsia" w:hAnsi="宋体"/>
                <w:sz w:val="24"/>
                <w:szCs w:val="24"/>
              </w:rPr>
            </w:pPr>
          </w:p>
        </w:tc>
        <w:tc>
          <w:tcPr>
            <w:tcW w:w="634" w:type="dxa"/>
            <w:vMerge w:val="continue"/>
            <w:vAlign w:val="center"/>
          </w:tcPr>
          <w:p>
            <w:pPr>
              <w:pStyle w:val="5"/>
              <w:spacing w:line="276" w:lineRule="auto"/>
              <w:ind w:firstLine="240"/>
              <w:jc w:val="center"/>
              <w:rPr>
                <w:rFonts w:hint="eastAsia" w:hAnsi="宋体"/>
                <w:sz w:val="24"/>
                <w:szCs w:val="24"/>
              </w:rPr>
            </w:pPr>
          </w:p>
        </w:tc>
        <w:tc>
          <w:tcPr>
            <w:tcW w:w="5410" w:type="dxa"/>
            <w:vAlign w:val="center"/>
          </w:tcPr>
          <w:p>
            <w:pPr>
              <w:pStyle w:val="5"/>
              <w:spacing w:line="276" w:lineRule="auto"/>
              <w:jc w:val="left"/>
              <w:rPr>
                <w:rFonts w:hint="eastAsia" w:hAnsi="宋体"/>
                <w:sz w:val="24"/>
                <w:szCs w:val="24"/>
              </w:rPr>
            </w:pPr>
            <w:r>
              <w:rPr>
                <w:rFonts w:hint="eastAsia" w:hAnsi="宋体"/>
                <w:sz w:val="24"/>
                <w:szCs w:val="24"/>
              </w:rPr>
              <w:t>工作量及计划安排合理，得6.0－8.0分；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1" w:type="dxa"/>
            <w:vMerge w:val="continue"/>
          </w:tcPr>
          <w:p>
            <w:pPr>
              <w:pStyle w:val="5"/>
              <w:spacing w:line="480" w:lineRule="exact"/>
              <w:ind w:firstLine="240"/>
              <w:jc w:val="center"/>
              <w:rPr>
                <w:rFonts w:hint="eastAsia" w:hAnsi="宋体"/>
                <w:sz w:val="24"/>
                <w:szCs w:val="24"/>
              </w:rPr>
            </w:pPr>
          </w:p>
        </w:tc>
        <w:tc>
          <w:tcPr>
            <w:tcW w:w="741" w:type="dxa"/>
            <w:vMerge w:val="continue"/>
          </w:tcPr>
          <w:p>
            <w:pPr>
              <w:pStyle w:val="5"/>
              <w:spacing w:line="480" w:lineRule="exact"/>
              <w:ind w:firstLine="240"/>
              <w:jc w:val="center"/>
              <w:rPr>
                <w:rFonts w:hint="eastAsia" w:hAnsi="宋体"/>
                <w:sz w:val="24"/>
                <w:szCs w:val="24"/>
              </w:rPr>
            </w:pPr>
          </w:p>
        </w:tc>
        <w:tc>
          <w:tcPr>
            <w:tcW w:w="831" w:type="dxa"/>
            <w:vMerge w:val="continue"/>
          </w:tcPr>
          <w:p>
            <w:pPr>
              <w:pStyle w:val="5"/>
              <w:spacing w:line="276" w:lineRule="auto"/>
              <w:ind w:firstLine="240"/>
              <w:jc w:val="center"/>
              <w:rPr>
                <w:rFonts w:hint="eastAsia" w:hAnsi="宋体"/>
                <w:sz w:val="24"/>
                <w:szCs w:val="24"/>
              </w:rPr>
            </w:pPr>
          </w:p>
        </w:tc>
        <w:tc>
          <w:tcPr>
            <w:tcW w:w="1209" w:type="dxa"/>
            <w:vMerge w:val="continue"/>
          </w:tcPr>
          <w:p>
            <w:pPr>
              <w:pStyle w:val="5"/>
              <w:spacing w:line="276" w:lineRule="auto"/>
              <w:ind w:firstLine="240"/>
              <w:jc w:val="center"/>
              <w:rPr>
                <w:rFonts w:hint="eastAsia" w:hAnsi="宋体"/>
                <w:sz w:val="24"/>
                <w:szCs w:val="24"/>
              </w:rPr>
            </w:pPr>
          </w:p>
        </w:tc>
        <w:tc>
          <w:tcPr>
            <w:tcW w:w="634" w:type="dxa"/>
            <w:vMerge w:val="continue"/>
            <w:vAlign w:val="center"/>
          </w:tcPr>
          <w:p>
            <w:pPr>
              <w:pStyle w:val="5"/>
              <w:spacing w:line="276" w:lineRule="auto"/>
              <w:ind w:firstLine="240"/>
              <w:jc w:val="center"/>
              <w:rPr>
                <w:rFonts w:hint="eastAsia" w:hAnsi="宋体"/>
                <w:sz w:val="24"/>
                <w:szCs w:val="24"/>
              </w:rPr>
            </w:pPr>
          </w:p>
        </w:tc>
        <w:tc>
          <w:tcPr>
            <w:tcW w:w="5410" w:type="dxa"/>
            <w:vAlign w:val="center"/>
          </w:tcPr>
          <w:p>
            <w:pPr>
              <w:pStyle w:val="5"/>
              <w:spacing w:line="276" w:lineRule="auto"/>
              <w:jc w:val="left"/>
              <w:rPr>
                <w:rFonts w:hint="eastAsia" w:hAnsi="宋体"/>
                <w:sz w:val="24"/>
                <w:szCs w:val="24"/>
              </w:rPr>
            </w:pPr>
            <w:r>
              <w:rPr>
                <w:rFonts w:hint="eastAsia" w:hAnsi="宋体"/>
                <w:sz w:val="24"/>
                <w:szCs w:val="24"/>
              </w:rPr>
              <w:t>工作量及计划安排科学，安排周密，得8.0－</w:t>
            </w:r>
            <w:r>
              <w:rPr>
                <w:rFonts w:hAnsi="宋体"/>
                <w:sz w:val="24"/>
                <w:szCs w:val="24"/>
              </w:rPr>
              <w:t>1</w:t>
            </w:r>
            <w:r>
              <w:rPr>
                <w:rFonts w:hint="eastAsia" w:hAnsi="宋体"/>
                <w:sz w:val="24"/>
                <w:szCs w:val="24"/>
              </w:rPr>
              <w:t>0.0分</w:t>
            </w:r>
            <w:r>
              <w:rPr>
                <w:rFonts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1" w:type="dxa"/>
            <w:vMerge w:val="continue"/>
            <w:vAlign w:val="center"/>
          </w:tcPr>
          <w:p>
            <w:pPr>
              <w:pStyle w:val="5"/>
              <w:spacing w:line="480" w:lineRule="exact"/>
              <w:ind w:firstLine="240"/>
              <w:jc w:val="center"/>
              <w:rPr>
                <w:rFonts w:hint="eastAsia" w:hAnsi="宋体"/>
                <w:sz w:val="24"/>
                <w:szCs w:val="24"/>
              </w:rPr>
            </w:pPr>
          </w:p>
        </w:tc>
        <w:tc>
          <w:tcPr>
            <w:tcW w:w="741" w:type="dxa"/>
            <w:vMerge w:val="continue"/>
          </w:tcPr>
          <w:p>
            <w:pPr>
              <w:pStyle w:val="5"/>
              <w:spacing w:line="480" w:lineRule="exact"/>
              <w:ind w:firstLine="240"/>
              <w:jc w:val="center"/>
              <w:rPr>
                <w:rFonts w:hint="eastAsia" w:hAnsi="宋体"/>
                <w:sz w:val="24"/>
                <w:szCs w:val="24"/>
              </w:rPr>
            </w:pPr>
          </w:p>
        </w:tc>
        <w:tc>
          <w:tcPr>
            <w:tcW w:w="831" w:type="dxa"/>
            <w:vMerge w:val="continue"/>
            <w:vAlign w:val="center"/>
          </w:tcPr>
          <w:p>
            <w:pPr>
              <w:pStyle w:val="5"/>
              <w:spacing w:line="276" w:lineRule="auto"/>
              <w:ind w:firstLine="240"/>
              <w:jc w:val="center"/>
              <w:rPr>
                <w:rFonts w:hint="eastAsia" w:hAnsi="宋体"/>
                <w:sz w:val="24"/>
                <w:szCs w:val="24"/>
              </w:rPr>
            </w:pPr>
          </w:p>
        </w:tc>
        <w:tc>
          <w:tcPr>
            <w:tcW w:w="1209" w:type="dxa"/>
            <w:vMerge w:val="restart"/>
            <w:vAlign w:val="center"/>
          </w:tcPr>
          <w:p>
            <w:pPr>
              <w:adjustRightInd w:val="0"/>
              <w:snapToGrid w:val="0"/>
              <w:spacing w:line="276" w:lineRule="auto"/>
              <w:rPr>
                <w:rFonts w:hint="eastAsia" w:ascii="宋体" w:hAnsi="宋体"/>
                <w:sz w:val="24"/>
                <w:szCs w:val="24"/>
              </w:rPr>
            </w:pPr>
            <w:r>
              <w:rPr>
                <w:rFonts w:hint="eastAsia" w:ascii="宋体" w:hAnsi="宋体"/>
                <w:sz w:val="24"/>
                <w:szCs w:val="24"/>
              </w:rPr>
              <w:t>质量保证措施、进度保证措施</w:t>
            </w:r>
          </w:p>
        </w:tc>
        <w:tc>
          <w:tcPr>
            <w:tcW w:w="634" w:type="dxa"/>
            <w:vMerge w:val="restart"/>
            <w:vAlign w:val="center"/>
          </w:tcPr>
          <w:p>
            <w:pPr>
              <w:pStyle w:val="5"/>
              <w:spacing w:line="276" w:lineRule="auto"/>
              <w:rPr>
                <w:rFonts w:hint="eastAsia" w:hAnsi="宋体"/>
                <w:sz w:val="24"/>
                <w:szCs w:val="24"/>
              </w:rPr>
            </w:pPr>
            <w:r>
              <w:rPr>
                <w:rFonts w:hAnsi="宋体"/>
                <w:sz w:val="24"/>
                <w:szCs w:val="24"/>
              </w:rPr>
              <w:t>1</w:t>
            </w:r>
            <w:r>
              <w:rPr>
                <w:rFonts w:hint="eastAsia" w:hAnsi="宋体"/>
                <w:sz w:val="24"/>
                <w:szCs w:val="24"/>
              </w:rPr>
              <w:t>0分</w:t>
            </w:r>
          </w:p>
        </w:tc>
        <w:tc>
          <w:tcPr>
            <w:tcW w:w="5410" w:type="dxa"/>
            <w:vAlign w:val="center"/>
          </w:tcPr>
          <w:p>
            <w:pPr>
              <w:adjustRightInd w:val="0"/>
              <w:snapToGrid w:val="0"/>
              <w:spacing w:line="276" w:lineRule="auto"/>
              <w:rPr>
                <w:rFonts w:hint="eastAsia" w:ascii="宋体" w:hAnsi="宋体"/>
                <w:sz w:val="24"/>
                <w:szCs w:val="24"/>
              </w:rPr>
            </w:pPr>
            <w:r>
              <w:rPr>
                <w:rFonts w:hint="eastAsia" w:ascii="宋体" w:hAnsi="宋体"/>
                <w:sz w:val="24"/>
                <w:szCs w:val="24"/>
              </w:rPr>
              <w:t>内容基本齐全，方法基本合理，可实施性一般，得6.0分；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41" w:type="dxa"/>
            <w:vMerge w:val="continue"/>
          </w:tcPr>
          <w:p>
            <w:pPr>
              <w:pStyle w:val="5"/>
              <w:spacing w:line="480" w:lineRule="exact"/>
              <w:ind w:firstLine="240"/>
              <w:jc w:val="center"/>
              <w:rPr>
                <w:rFonts w:hint="eastAsia" w:hAnsi="宋体"/>
                <w:sz w:val="24"/>
                <w:szCs w:val="24"/>
              </w:rPr>
            </w:pPr>
          </w:p>
        </w:tc>
        <w:tc>
          <w:tcPr>
            <w:tcW w:w="741" w:type="dxa"/>
            <w:vMerge w:val="continue"/>
          </w:tcPr>
          <w:p>
            <w:pPr>
              <w:pStyle w:val="5"/>
              <w:spacing w:line="480" w:lineRule="exact"/>
              <w:ind w:firstLine="240"/>
              <w:jc w:val="center"/>
              <w:rPr>
                <w:rFonts w:hint="eastAsia" w:hAnsi="宋体"/>
                <w:sz w:val="24"/>
                <w:szCs w:val="24"/>
              </w:rPr>
            </w:pPr>
          </w:p>
        </w:tc>
        <w:tc>
          <w:tcPr>
            <w:tcW w:w="831" w:type="dxa"/>
            <w:vMerge w:val="continue"/>
          </w:tcPr>
          <w:p>
            <w:pPr>
              <w:pStyle w:val="5"/>
              <w:spacing w:line="276" w:lineRule="auto"/>
              <w:ind w:firstLine="240"/>
              <w:jc w:val="center"/>
              <w:rPr>
                <w:rFonts w:hint="eastAsia" w:hAnsi="宋体"/>
                <w:sz w:val="24"/>
                <w:szCs w:val="24"/>
              </w:rPr>
            </w:pPr>
          </w:p>
        </w:tc>
        <w:tc>
          <w:tcPr>
            <w:tcW w:w="1209" w:type="dxa"/>
            <w:vMerge w:val="continue"/>
          </w:tcPr>
          <w:p>
            <w:pPr>
              <w:pStyle w:val="5"/>
              <w:spacing w:line="276" w:lineRule="auto"/>
              <w:ind w:firstLine="240"/>
              <w:jc w:val="center"/>
              <w:rPr>
                <w:rFonts w:hint="eastAsia" w:hAnsi="宋体"/>
                <w:sz w:val="24"/>
                <w:szCs w:val="24"/>
              </w:rPr>
            </w:pPr>
          </w:p>
        </w:tc>
        <w:tc>
          <w:tcPr>
            <w:tcW w:w="634" w:type="dxa"/>
            <w:vMerge w:val="continue"/>
            <w:vAlign w:val="center"/>
          </w:tcPr>
          <w:p>
            <w:pPr>
              <w:pStyle w:val="5"/>
              <w:spacing w:line="276" w:lineRule="auto"/>
              <w:ind w:firstLine="240"/>
              <w:jc w:val="center"/>
              <w:rPr>
                <w:rFonts w:hint="eastAsia" w:hAnsi="宋体"/>
                <w:sz w:val="24"/>
                <w:szCs w:val="24"/>
              </w:rPr>
            </w:pPr>
          </w:p>
        </w:tc>
        <w:tc>
          <w:tcPr>
            <w:tcW w:w="5410" w:type="dxa"/>
            <w:vAlign w:val="center"/>
          </w:tcPr>
          <w:p>
            <w:pPr>
              <w:spacing w:line="276" w:lineRule="auto"/>
              <w:jc w:val="left"/>
              <w:rPr>
                <w:rFonts w:hint="eastAsia" w:ascii="宋体" w:hAnsi="宋体"/>
                <w:kern w:val="2"/>
                <w:sz w:val="24"/>
                <w:szCs w:val="24"/>
              </w:rPr>
            </w:pPr>
            <w:r>
              <w:rPr>
                <w:rFonts w:hint="eastAsia" w:ascii="宋体" w:hAnsi="宋体"/>
                <w:sz w:val="24"/>
                <w:szCs w:val="24"/>
              </w:rPr>
              <w:t>内容较齐全，方法较合理，可实施性较好，得</w:t>
            </w:r>
            <w:r>
              <w:rPr>
                <w:rFonts w:hint="eastAsia" w:hAnsi="宋体"/>
                <w:sz w:val="24"/>
                <w:szCs w:val="24"/>
              </w:rPr>
              <w:t>6.0－8.0分；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41" w:type="dxa"/>
            <w:vMerge w:val="continue"/>
          </w:tcPr>
          <w:p>
            <w:pPr>
              <w:pStyle w:val="5"/>
              <w:spacing w:line="480" w:lineRule="exact"/>
              <w:ind w:firstLine="240"/>
              <w:jc w:val="center"/>
              <w:rPr>
                <w:rFonts w:hint="eastAsia" w:hAnsi="宋体"/>
                <w:sz w:val="24"/>
                <w:szCs w:val="24"/>
              </w:rPr>
            </w:pPr>
          </w:p>
        </w:tc>
        <w:tc>
          <w:tcPr>
            <w:tcW w:w="741" w:type="dxa"/>
            <w:vMerge w:val="continue"/>
          </w:tcPr>
          <w:p>
            <w:pPr>
              <w:pStyle w:val="5"/>
              <w:spacing w:line="480" w:lineRule="exact"/>
              <w:ind w:firstLine="240"/>
              <w:jc w:val="center"/>
              <w:rPr>
                <w:rFonts w:hint="eastAsia" w:hAnsi="宋体"/>
                <w:sz w:val="24"/>
                <w:szCs w:val="24"/>
              </w:rPr>
            </w:pPr>
          </w:p>
        </w:tc>
        <w:tc>
          <w:tcPr>
            <w:tcW w:w="831" w:type="dxa"/>
            <w:vMerge w:val="continue"/>
          </w:tcPr>
          <w:p>
            <w:pPr>
              <w:pStyle w:val="5"/>
              <w:spacing w:line="276" w:lineRule="auto"/>
              <w:ind w:firstLine="240"/>
              <w:jc w:val="center"/>
              <w:rPr>
                <w:rFonts w:hint="eastAsia" w:hAnsi="宋体"/>
                <w:sz w:val="24"/>
                <w:szCs w:val="24"/>
              </w:rPr>
            </w:pPr>
          </w:p>
        </w:tc>
        <w:tc>
          <w:tcPr>
            <w:tcW w:w="1209" w:type="dxa"/>
            <w:vMerge w:val="continue"/>
          </w:tcPr>
          <w:p>
            <w:pPr>
              <w:pStyle w:val="5"/>
              <w:spacing w:line="276" w:lineRule="auto"/>
              <w:ind w:firstLine="240"/>
              <w:jc w:val="center"/>
              <w:rPr>
                <w:rFonts w:hint="eastAsia" w:hAnsi="宋体"/>
                <w:sz w:val="24"/>
                <w:szCs w:val="24"/>
              </w:rPr>
            </w:pPr>
          </w:p>
        </w:tc>
        <w:tc>
          <w:tcPr>
            <w:tcW w:w="634" w:type="dxa"/>
            <w:vMerge w:val="continue"/>
            <w:vAlign w:val="center"/>
          </w:tcPr>
          <w:p>
            <w:pPr>
              <w:pStyle w:val="5"/>
              <w:spacing w:line="276" w:lineRule="auto"/>
              <w:ind w:firstLine="240"/>
              <w:jc w:val="center"/>
              <w:rPr>
                <w:rFonts w:hint="eastAsia" w:hAnsi="宋体"/>
                <w:sz w:val="24"/>
                <w:szCs w:val="24"/>
              </w:rPr>
            </w:pPr>
          </w:p>
        </w:tc>
        <w:tc>
          <w:tcPr>
            <w:tcW w:w="5410" w:type="dxa"/>
            <w:vAlign w:val="center"/>
          </w:tcPr>
          <w:p>
            <w:pPr>
              <w:spacing w:line="276" w:lineRule="auto"/>
              <w:jc w:val="left"/>
              <w:rPr>
                <w:rFonts w:hint="eastAsia" w:ascii="宋体" w:hAnsi="宋体"/>
                <w:kern w:val="2"/>
                <w:sz w:val="24"/>
                <w:szCs w:val="24"/>
              </w:rPr>
            </w:pPr>
            <w:r>
              <w:rPr>
                <w:rFonts w:hint="eastAsia" w:ascii="宋体" w:hAnsi="宋体"/>
                <w:sz w:val="24"/>
                <w:szCs w:val="24"/>
              </w:rPr>
              <w:t>内容齐全，方法合理、正确，可实施性强，得</w:t>
            </w:r>
            <w:r>
              <w:rPr>
                <w:rFonts w:hint="eastAsia" w:hAnsi="宋体"/>
                <w:sz w:val="24"/>
                <w:szCs w:val="24"/>
              </w:rPr>
              <w:t>8.0－</w:t>
            </w:r>
            <w:r>
              <w:rPr>
                <w:rFonts w:hAnsi="宋体"/>
                <w:sz w:val="24"/>
                <w:szCs w:val="24"/>
              </w:rPr>
              <w:t>1</w:t>
            </w:r>
            <w:r>
              <w:rPr>
                <w:rFonts w:hint="eastAsia" w:hAnsi="宋体"/>
                <w:sz w:val="24"/>
                <w:szCs w:val="24"/>
              </w:rPr>
              <w:t>0.0分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vAlign w:val="center"/>
          </w:tcPr>
          <w:p>
            <w:pPr>
              <w:pStyle w:val="5"/>
              <w:spacing w:line="480" w:lineRule="exact"/>
              <w:ind w:firstLine="240"/>
              <w:jc w:val="center"/>
              <w:rPr>
                <w:rFonts w:hint="eastAsia" w:hAnsi="宋体"/>
                <w:sz w:val="24"/>
                <w:szCs w:val="24"/>
              </w:rPr>
            </w:pPr>
          </w:p>
        </w:tc>
        <w:tc>
          <w:tcPr>
            <w:tcW w:w="741" w:type="dxa"/>
            <w:vMerge w:val="continue"/>
            <w:vAlign w:val="center"/>
          </w:tcPr>
          <w:p>
            <w:pPr>
              <w:pStyle w:val="5"/>
              <w:spacing w:line="480" w:lineRule="exact"/>
              <w:ind w:firstLine="240"/>
              <w:jc w:val="center"/>
              <w:rPr>
                <w:rFonts w:hint="eastAsia" w:hAnsi="宋体"/>
                <w:sz w:val="24"/>
                <w:szCs w:val="24"/>
              </w:rPr>
            </w:pPr>
          </w:p>
        </w:tc>
        <w:tc>
          <w:tcPr>
            <w:tcW w:w="831" w:type="dxa"/>
            <w:vMerge w:val="continue"/>
            <w:vAlign w:val="center"/>
          </w:tcPr>
          <w:p>
            <w:pPr>
              <w:pStyle w:val="5"/>
              <w:spacing w:line="276" w:lineRule="auto"/>
              <w:ind w:firstLine="240"/>
              <w:jc w:val="center"/>
              <w:rPr>
                <w:rFonts w:hint="eastAsia" w:hAnsi="宋体"/>
                <w:sz w:val="24"/>
                <w:szCs w:val="24"/>
              </w:rPr>
            </w:pPr>
          </w:p>
        </w:tc>
        <w:tc>
          <w:tcPr>
            <w:tcW w:w="1209" w:type="dxa"/>
            <w:vMerge w:val="restart"/>
            <w:vAlign w:val="center"/>
          </w:tcPr>
          <w:p>
            <w:pPr>
              <w:pStyle w:val="5"/>
              <w:spacing w:line="276" w:lineRule="auto"/>
              <w:jc w:val="center"/>
              <w:rPr>
                <w:rFonts w:hint="eastAsia" w:hAnsi="宋体"/>
                <w:sz w:val="24"/>
                <w:szCs w:val="24"/>
              </w:rPr>
            </w:pPr>
            <w:r>
              <w:rPr>
                <w:rFonts w:hint="eastAsia" w:hAnsi="宋体" w:cs="宋体"/>
                <w:sz w:val="24"/>
                <w:szCs w:val="24"/>
              </w:rPr>
              <w:t>服务承诺</w:t>
            </w:r>
          </w:p>
        </w:tc>
        <w:tc>
          <w:tcPr>
            <w:tcW w:w="634" w:type="dxa"/>
            <w:vMerge w:val="restart"/>
            <w:vAlign w:val="center"/>
          </w:tcPr>
          <w:p>
            <w:pPr>
              <w:pStyle w:val="5"/>
              <w:spacing w:line="276" w:lineRule="auto"/>
              <w:rPr>
                <w:rFonts w:hint="eastAsia" w:hAnsi="宋体"/>
                <w:sz w:val="24"/>
                <w:szCs w:val="24"/>
              </w:rPr>
            </w:pPr>
            <w:r>
              <w:rPr>
                <w:rFonts w:hint="eastAsia" w:hAnsi="宋体"/>
                <w:sz w:val="24"/>
                <w:szCs w:val="24"/>
              </w:rPr>
              <w:t>10</w:t>
            </w:r>
            <w:r>
              <w:rPr>
                <w:rFonts w:hAnsi="宋体"/>
                <w:sz w:val="24"/>
                <w:szCs w:val="24"/>
              </w:rPr>
              <w:t>分</w:t>
            </w:r>
          </w:p>
        </w:tc>
        <w:tc>
          <w:tcPr>
            <w:tcW w:w="5410" w:type="dxa"/>
            <w:vAlign w:val="center"/>
          </w:tcPr>
          <w:p>
            <w:pPr>
              <w:adjustRightInd w:val="0"/>
              <w:snapToGrid w:val="0"/>
              <w:spacing w:line="276" w:lineRule="auto"/>
              <w:rPr>
                <w:rFonts w:hint="eastAsia" w:ascii="宋体" w:hAnsi="宋体"/>
                <w:sz w:val="24"/>
                <w:szCs w:val="24"/>
              </w:rPr>
            </w:pPr>
            <w:r>
              <w:rPr>
                <w:rFonts w:hint="eastAsia" w:ascii="宋体" w:hAnsi="宋体"/>
                <w:spacing w:val="-10"/>
                <w:sz w:val="24"/>
                <w:szCs w:val="24"/>
              </w:rPr>
              <w:t>服务承诺基本合理，服务体系基本完备，得</w:t>
            </w:r>
            <w:r>
              <w:rPr>
                <w:rFonts w:hint="eastAsia" w:ascii="宋体" w:hAnsi="宋体"/>
                <w:sz w:val="24"/>
                <w:szCs w:val="24"/>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1" w:type="dxa"/>
            <w:vMerge w:val="continue"/>
          </w:tcPr>
          <w:p>
            <w:pPr>
              <w:pStyle w:val="5"/>
              <w:spacing w:line="480" w:lineRule="exact"/>
              <w:ind w:firstLine="240"/>
              <w:jc w:val="center"/>
              <w:rPr>
                <w:rFonts w:hint="eastAsia" w:hAnsi="宋体"/>
                <w:sz w:val="24"/>
                <w:szCs w:val="24"/>
              </w:rPr>
            </w:pPr>
          </w:p>
        </w:tc>
        <w:tc>
          <w:tcPr>
            <w:tcW w:w="741" w:type="dxa"/>
            <w:vMerge w:val="continue"/>
          </w:tcPr>
          <w:p>
            <w:pPr>
              <w:pStyle w:val="5"/>
              <w:spacing w:line="480" w:lineRule="exact"/>
              <w:ind w:firstLine="240"/>
              <w:rPr>
                <w:rFonts w:hint="eastAsia" w:hAnsi="宋体"/>
                <w:sz w:val="24"/>
                <w:szCs w:val="24"/>
              </w:rPr>
            </w:pPr>
          </w:p>
        </w:tc>
        <w:tc>
          <w:tcPr>
            <w:tcW w:w="831" w:type="dxa"/>
            <w:vMerge w:val="continue"/>
          </w:tcPr>
          <w:p>
            <w:pPr>
              <w:pStyle w:val="5"/>
              <w:spacing w:line="276" w:lineRule="auto"/>
              <w:ind w:firstLine="240"/>
              <w:rPr>
                <w:rFonts w:hint="eastAsia" w:hAnsi="宋体"/>
                <w:sz w:val="24"/>
                <w:szCs w:val="24"/>
              </w:rPr>
            </w:pPr>
          </w:p>
        </w:tc>
        <w:tc>
          <w:tcPr>
            <w:tcW w:w="1209" w:type="dxa"/>
            <w:vMerge w:val="continue"/>
          </w:tcPr>
          <w:p>
            <w:pPr>
              <w:pStyle w:val="5"/>
              <w:spacing w:line="276" w:lineRule="auto"/>
              <w:ind w:firstLine="240"/>
              <w:jc w:val="center"/>
              <w:rPr>
                <w:rFonts w:hint="eastAsia" w:hAnsi="宋体"/>
                <w:sz w:val="24"/>
                <w:szCs w:val="24"/>
              </w:rPr>
            </w:pPr>
          </w:p>
        </w:tc>
        <w:tc>
          <w:tcPr>
            <w:tcW w:w="634" w:type="dxa"/>
            <w:vMerge w:val="continue"/>
            <w:vAlign w:val="center"/>
          </w:tcPr>
          <w:p>
            <w:pPr>
              <w:pStyle w:val="5"/>
              <w:spacing w:line="276" w:lineRule="auto"/>
              <w:ind w:firstLine="240"/>
              <w:jc w:val="center"/>
              <w:rPr>
                <w:rFonts w:hint="eastAsia" w:hAnsi="宋体"/>
                <w:sz w:val="24"/>
                <w:szCs w:val="24"/>
              </w:rPr>
            </w:pPr>
          </w:p>
        </w:tc>
        <w:tc>
          <w:tcPr>
            <w:tcW w:w="5410" w:type="dxa"/>
            <w:vAlign w:val="center"/>
          </w:tcPr>
          <w:p>
            <w:pPr>
              <w:spacing w:line="276" w:lineRule="auto"/>
              <w:jc w:val="left"/>
              <w:rPr>
                <w:rFonts w:hint="eastAsia" w:ascii="宋体" w:hAnsi="宋体"/>
                <w:kern w:val="2"/>
                <w:sz w:val="24"/>
                <w:szCs w:val="24"/>
              </w:rPr>
            </w:pPr>
            <w:r>
              <w:rPr>
                <w:rFonts w:hint="eastAsia" w:ascii="宋体" w:hAnsi="宋体"/>
                <w:spacing w:val="-10"/>
                <w:sz w:val="24"/>
                <w:szCs w:val="24"/>
              </w:rPr>
              <w:t>服务承诺较全面、较合理，体系较完备，得</w:t>
            </w:r>
            <w:r>
              <w:rPr>
                <w:rFonts w:hint="eastAsia" w:hAnsi="宋体"/>
                <w:sz w:val="24"/>
                <w:szCs w:val="24"/>
              </w:rPr>
              <w:t>6.0－8.0分；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1" w:type="dxa"/>
            <w:vMerge w:val="continue"/>
          </w:tcPr>
          <w:p>
            <w:pPr>
              <w:pStyle w:val="5"/>
              <w:spacing w:line="480" w:lineRule="exact"/>
              <w:ind w:firstLine="240"/>
              <w:jc w:val="center"/>
              <w:rPr>
                <w:rFonts w:hint="eastAsia" w:hAnsi="宋体"/>
                <w:sz w:val="24"/>
                <w:szCs w:val="24"/>
              </w:rPr>
            </w:pPr>
          </w:p>
        </w:tc>
        <w:tc>
          <w:tcPr>
            <w:tcW w:w="741" w:type="dxa"/>
            <w:vMerge w:val="continue"/>
          </w:tcPr>
          <w:p>
            <w:pPr>
              <w:pStyle w:val="5"/>
              <w:spacing w:line="480" w:lineRule="exact"/>
              <w:ind w:firstLine="240"/>
              <w:rPr>
                <w:rFonts w:hint="eastAsia" w:hAnsi="宋体"/>
                <w:sz w:val="24"/>
                <w:szCs w:val="24"/>
              </w:rPr>
            </w:pPr>
          </w:p>
        </w:tc>
        <w:tc>
          <w:tcPr>
            <w:tcW w:w="831" w:type="dxa"/>
            <w:vMerge w:val="continue"/>
          </w:tcPr>
          <w:p>
            <w:pPr>
              <w:pStyle w:val="5"/>
              <w:spacing w:line="276" w:lineRule="auto"/>
              <w:ind w:firstLine="240"/>
              <w:rPr>
                <w:rFonts w:hint="eastAsia" w:hAnsi="宋体"/>
                <w:sz w:val="24"/>
                <w:szCs w:val="24"/>
              </w:rPr>
            </w:pPr>
          </w:p>
        </w:tc>
        <w:tc>
          <w:tcPr>
            <w:tcW w:w="1209" w:type="dxa"/>
            <w:vMerge w:val="continue"/>
            <w:tcBorders>
              <w:bottom w:val="single" w:color="auto" w:sz="4" w:space="0"/>
            </w:tcBorders>
          </w:tcPr>
          <w:p>
            <w:pPr>
              <w:pStyle w:val="5"/>
              <w:spacing w:line="276" w:lineRule="auto"/>
              <w:ind w:firstLine="240"/>
              <w:jc w:val="center"/>
              <w:rPr>
                <w:rFonts w:hint="eastAsia" w:hAnsi="宋体"/>
                <w:sz w:val="24"/>
                <w:szCs w:val="24"/>
              </w:rPr>
            </w:pPr>
          </w:p>
        </w:tc>
        <w:tc>
          <w:tcPr>
            <w:tcW w:w="634" w:type="dxa"/>
            <w:vMerge w:val="continue"/>
            <w:tcBorders>
              <w:bottom w:val="single" w:color="auto" w:sz="4" w:space="0"/>
            </w:tcBorders>
            <w:vAlign w:val="center"/>
          </w:tcPr>
          <w:p>
            <w:pPr>
              <w:pStyle w:val="5"/>
              <w:spacing w:line="276" w:lineRule="auto"/>
              <w:ind w:firstLine="240"/>
              <w:jc w:val="center"/>
              <w:rPr>
                <w:rFonts w:hint="eastAsia" w:hAnsi="宋体"/>
                <w:sz w:val="24"/>
                <w:szCs w:val="24"/>
              </w:rPr>
            </w:pPr>
          </w:p>
        </w:tc>
        <w:tc>
          <w:tcPr>
            <w:tcW w:w="5410" w:type="dxa"/>
            <w:tcBorders>
              <w:bottom w:val="single" w:color="auto" w:sz="4" w:space="0"/>
            </w:tcBorders>
          </w:tcPr>
          <w:p>
            <w:pPr>
              <w:spacing w:line="276" w:lineRule="auto"/>
              <w:ind w:firstLine="220"/>
              <w:jc w:val="left"/>
              <w:rPr>
                <w:rFonts w:hint="eastAsia" w:ascii="宋体" w:hAnsi="宋体"/>
                <w:kern w:val="2"/>
                <w:sz w:val="24"/>
                <w:szCs w:val="24"/>
              </w:rPr>
            </w:pPr>
            <w:r>
              <w:rPr>
                <w:rFonts w:hint="eastAsia" w:ascii="宋体" w:hAnsi="宋体"/>
                <w:spacing w:val="-10"/>
                <w:sz w:val="24"/>
                <w:szCs w:val="24"/>
              </w:rPr>
              <w:t>服务承诺措施全面、合理，体系完备，得</w:t>
            </w:r>
            <w:r>
              <w:rPr>
                <w:rFonts w:hint="eastAsia" w:hAnsi="宋体"/>
                <w:sz w:val="24"/>
                <w:szCs w:val="24"/>
              </w:rPr>
              <w:t>8.0－</w:t>
            </w:r>
            <w:r>
              <w:rPr>
                <w:rFonts w:hAnsi="宋体"/>
                <w:sz w:val="24"/>
                <w:szCs w:val="24"/>
              </w:rPr>
              <w:t>1</w:t>
            </w:r>
            <w:r>
              <w:rPr>
                <w:rFonts w:hint="eastAsia" w:hAnsi="宋体"/>
                <w:sz w:val="24"/>
                <w:szCs w:val="24"/>
              </w:rPr>
              <w:t>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741" w:type="dxa"/>
            <w:tcBorders>
              <w:top w:val="nil"/>
            </w:tcBorders>
            <w:vAlign w:val="center"/>
          </w:tcPr>
          <w:p>
            <w:pPr>
              <w:pStyle w:val="5"/>
              <w:spacing w:line="480" w:lineRule="exact"/>
              <w:ind w:firstLine="240"/>
              <w:jc w:val="center"/>
              <w:rPr>
                <w:rFonts w:hint="eastAsia" w:hAnsi="宋体"/>
                <w:sz w:val="24"/>
                <w:szCs w:val="24"/>
              </w:rPr>
            </w:pPr>
            <w:r>
              <w:rPr>
                <w:rFonts w:hAnsi="宋体"/>
                <w:sz w:val="24"/>
                <w:szCs w:val="24"/>
              </w:rPr>
              <w:t>2.2.4（2）</w:t>
            </w:r>
          </w:p>
        </w:tc>
        <w:tc>
          <w:tcPr>
            <w:tcW w:w="741" w:type="dxa"/>
            <w:tcBorders>
              <w:top w:val="nil"/>
            </w:tcBorders>
            <w:vAlign w:val="center"/>
          </w:tcPr>
          <w:p>
            <w:pPr>
              <w:pStyle w:val="5"/>
              <w:spacing w:line="480" w:lineRule="exact"/>
              <w:rPr>
                <w:rFonts w:hint="eastAsia" w:hAnsi="宋体"/>
                <w:sz w:val="24"/>
                <w:szCs w:val="24"/>
              </w:rPr>
            </w:pPr>
            <w:r>
              <w:rPr>
                <w:rFonts w:hint="eastAsia" w:hAnsi="宋体"/>
                <w:sz w:val="24"/>
                <w:szCs w:val="24"/>
              </w:rPr>
              <w:t>主要人员</w:t>
            </w:r>
          </w:p>
        </w:tc>
        <w:tc>
          <w:tcPr>
            <w:tcW w:w="831" w:type="dxa"/>
            <w:tcBorders>
              <w:top w:val="nil"/>
            </w:tcBorders>
            <w:vAlign w:val="center"/>
          </w:tcPr>
          <w:p>
            <w:pPr>
              <w:pStyle w:val="5"/>
              <w:spacing w:line="276" w:lineRule="auto"/>
              <w:rPr>
                <w:rFonts w:hint="eastAsia" w:hAnsi="宋体"/>
                <w:sz w:val="24"/>
                <w:szCs w:val="24"/>
              </w:rPr>
            </w:pPr>
            <w:r>
              <w:rPr>
                <w:rFonts w:hint="eastAsia" w:hAnsi="宋体"/>
                <w:sz w:val="24"/>
                <w:szCs w:val="24"/>
              </w:rPr>
              <w:t>20分</w:t>
            </w:r>
          </w:p>
        </w:tc>
        <w:tc>
          <w:tcPr>
            <w:tcW w:w="1209" w:type="dxa"/>
            <w:vAlign w:val="center"/>
          </w:tcPr>
          <w:p>
            <w:pPr>
              <w:pStyle w:val="5"/>
              <w:spacing w:line="276" w:lineRule="auto"/>
              <w:rPr>
                <w:rFonts w:hint="eastAsia" w:hAnsi="宋体"/>
                <w:sz w:val="24"/>
                <w:szCs w:val="24"/>
              </w:rPr>
            </w:pPr>
            <w:r>
              <w:rPr>
                <w:sz w:val="24"/>
                <w:szCs w:val="24"/>
              </w:rPr>
              <w:t>项目负责人任职资格</w:t>
            </w:r>
          </w:p>
        </w:tc>
        <w:tc>
          <w:tcPr>
            <w:tcW w:w="634" w:type="dxa"/>
            <w:vAlign w:val="center"/>
          </w:tcPr>
          <w:p>
            <w:pPr>
              <w:pStyle w:val="5"/>
              <w:spacing w:line="276" w:lineRule="auto"/>
              <w:rPr>
                <w:rFonts w:hint="eastAsia" w:hAnsi="宋体"/>
                <w:sz w:val="24"/>
                <w:szCs w:val="24"/>
              </w:rPr>
            </w:pPr>
            <w:r>
              <w:rPr>
                <w:rFonts w:hint="eastAsia" w:hAnsi="宋体"/>
                <w:sz w:val="24"/>
                <w:szCs w:val="24"/>
              </w:rPr>
              <w:t>20分</w:t>
            </w:r>
          </w:p>
        </w:tc>
        <w:tc>
          <w:tcPr>
            <w:tcW w:w="5410" w:type="dxa"/>
            <w:tcBorders>
              <w:bottom w:val="single" w:color="auto" w:sz="4" w:space="0"/>
            </w:tcBorders>
            <w:vAlign w:val="center"/>
          </w:tcPr>
          <w:p>
            <w:pPr>
              <w:spacing w:line="276" w:lineRule="auto"/>
              <w:ind w:firstLine="240"/>
              <w:rPr>
                <w:rFonts w:hint="eastAsia" w:ascii="宋体" w:hAnsi="宋体"/>
                <w:sz w:val="24"/>
                <w:szCs w:val="24"/>
              </w:rPr>
            </w:pPr>
            <w:r>
              <w:rPr>
                <w:rFonts w:hint="eastAsia" w:ascii="宋体" w:hAnsi="宋体"/>
                <w:sz w:val="24"/>
                <w:szCs w:val="24"/>
              </w:rPr>
              <w:t>投标人满足附录4 资格审查条件（项目负责人最低要求）得12分，每增加1项满足附录4 资格审查条件（项目负责人最低要求）的业绩</w:t>
            </w:r>
            <w:bookmarkStart w:id="17" w:name="_Hlk175584483"/>
            <w:r>
              <w:rPr>
                <w:rFonts w:hint="eastAsia" w:ascii="宋体" w:hAnsi="宋体"/>
                <w:sz w:val="24"/>
                <w:szCs w:val="24"/>
              </w:rPr>
              <w:t>加4分，最多加8分。</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tcBorders>
              <w:top w:val="nil"/>
            </w:tcBorders>
            <w:vAlign w:val="center"/>
          </w:tcPr>
          <w:p>
            <w:pPr>
              <w:pStyle w:val="5"/>
              <w:spacing w:line="480" w:lineRule="exact"/>
              <w:ind w:firstLine="240"/>
              <w:jc w:val="center"/>
              <w:rPr>
                <w:rFonts w:hint="eastAsia" w:hAnsi="宋体"/>
                <w:sz w:val="24"/>
                <w:szCs w:val="24"/>
              </w:rPr>
            </w:pPr>
            <w:r>
              <w:rPr>
                <w:rFonts w:hAnsi="宋体"/>
                <w:sz w:val="24"/>
                <w:szCs w:val="24"/>
              </w:rPr>
              <w:t>2.2.4（3）</w:t>
            </w:r>
          </w:p>
        </w:tc>
        <w:tc>
          <w:tcPr>
            <w:tcW w:w="741" w:type="dxa"/>
            <w:tcBorders>
              <w:top w:val="nil"/>
            </w:tcBorders>
            <w:vAlign w:val="center"/>
          </w:tcPr>
          <w:p>
            <w:pPr>
              <w:pStyle w:val="5"/>
              <w:spacing w:line="480" w:lineRule="exact"/>
              <w:ind w:firstLine="240"/>
              <w:jc w:val="center"/>
              <w:rPr>
                <w:rFonts w:hint="eastAsia" w:hAnsi="宋体"/>
                <w:sz w:val="24"/>
                <w:szCs w:val="24"/>
              </w:rPr>
            </w:pPr>
            <w:r>
              <w:rPr>
                <w:rFonts w:hint="eastAsia" w:hAnsi="宋体"/>
                <w:sz w:val="24"/>
                <w:szCs w:val="24"/>
              </w:rPr>
              <w:t>评标价</w:t>
            </w:r>
          </w:p>
        </w:tc>
        <w:tc>
          <w:tcPr>
            <w:tcW w:w="831" w:type="dxa"/>
            <w:tcBorders>
              <w:top w:val="nil"/>
              <w:bottom w:val="single" w:color="auto" w:sz="4" w:space="0"/>
            </w:tcBorders>
            <w:vAlign w:val="center"/>
          </w:tcPr>
          <w:p>
            <w:pPr>
              <w:pStyle w:val="5"/>
              <w:spacing w:line="276" w:lineRule="auto"/>
              <w:ind w:firstLine="240"/>
              <w:jc w:val="center"/>
              <w:rPr>
                <w:rFonts w:hint="eastAsia" w:hAnsi="宋体"/>
                <w:sz w:val="24"/>
                <w:szCs w:val="24"/>
              </w:rPr>
            </w:pPr>
            <w:r>
              <w:rPr>
                <w:rFonts w:hint="eastAsia" w:hAnsi="宋体"/>
                <w:sz w:val="24"/>
                <w:szCs w:val="24"/>
              </w:rPr>
              <w:t>10</w:t>
            </w:r>
            <w:r>
              <w:rPr>
                <w:rFonts w:hAnsi="宋体"/>
                <w:sz w:val="24"/>
                <w:szCs w:val="24"/>
              </w:rPr>
              <w:t>分</w:t>
            </w:r>
          </w:p>
        </w:tc>
        <w:tc>
          <w:tcPr>
            <w:tcW w:w="7253" w:type="dxa"/>
            <w:gridSpan w:val="3"/>
            <w:tcBorders>
              <w:bottom w:val="single" w:color="auto" w:sz="4" w:space="0"/>
            </w:tcBorders>
            <w:vAlign w:val="center"/>
          </w:tcPr>
          <w:p>
            <w:pPr>
              <w:spacing w:line="276" w:lineRule="auto"/>
              <w:ind w:firstLine="240"/>
              <w:rPr>
                <w:rFonts w:hint="eastAsia" w:ascii="宋体" w:hAnsi="宋体"/>
                <w:kern w:val="2"/>
                <w:sz w:val="24"/>
                <w:szCs w:val="24"/>
              </w:rPr>
            </w:pPr>
            <w:r>
              <w:rPr>
                <w:rFonts w:hint="eastAsia" w:ascii="宋体" w:hAnsi="宋体"/>
                <w:kern w:val="2"/>
                <w:sz w:val="24"/>
                <w:szCs w:val="24"/>
              </w:rPr>
              <w:t>评标价得分计算公式示例：</w:t>
            </w:r>
          </w:p>
          <w:p>
            <w:pPr>
              <w:spacing w:line="276" w:lineRule="auto"/>
              <w:ind w:firstLine="240"/>
              <w:rPr>
                <w:rFonts w:hint="eastAsia" w:ascii="宋体" w:hAnsi="宋体"/>
                <w:kern w:val="2"/>
                <w:sz w:val="24"/>
                <w:szCs w:val="24"/>
              </w:rPr>
            </w:pPr>
            <w:r>
              <w:rPr>
                <w:rFonts w:hint="eastAsia" w:ascii="宋体" w:hAnsi="宋体"/>
                <w:kern w:val="2"/>
                <w:sz w:val="24"/>
                <w:szCs w:val="24"/>
              </w:rPr>
              <w:t>（</w:t>
            </w:r>
            <w:r>
              <w:rPr>
                <w:rFonts w:ascii="宋体" w:hAnsi="宋体"/>
                <w:kern w:val="2"/>
                <w:sz w:val="24"/>
                <w:szCs w:val="24"/>
              </w:rPr>
              <w:t>1）如果投标人的评标价＞评标基准价，则评标价得分=F-（投标人评标价-评标基准价）/评标基准价×100×E1；</w:t>
            </w:r>
          </w:p>
          <w:p>
            <w:pPr>
              <w:spacing w:line="276" w:lineRule="auto"/>
              <w:ind w:firstLine="240"/>
              <w:rPr>
                <w:rFonts w:hint="eastAsia" w:ascii="宋体" w:hAnsi="宋体"/>
                <w:kern w:val="2"/>
                <w:sz w:val="24"/>
                <w:szCs w:val="24"/>
              </w:rPr>
            </w:pPr>
            <w:r>
              <w:rPr>
                <w:rFonts w:hint="eastAsia" w:ascii="宋体" w:hAnsi="宋体"/>
                <w:kern w:val="2"/>
                <w:sz w:val="24"/>
                <w:szCs w:val="24"/>
              </w:rPr>
              <w:t>（</w:t>
            </w:r>
            <w:r>
              <w:rPr>
                <w:rFonts w:ascii="宋体" w:hAnsi="宋体"/>
                <w:kern w:val="2"/>
                <w:sz w:val="24"/>
                <w:szCs w:val="24"/>
              </w:rPr>
              <w:t>2）如果投标人的评标价≤评标基准价，则评标价得分=F+(投标人评标价-评标基准价)/评标基准价×100×E2。</w:t>
            </w:r>
          </w:p>
          <w:p>
            <w:pPr>
              <w:spacing w:line="276" w:lineRule="auto"/>
              <w:ind w:firstLine="240"/>
              <w:jc w:val="left"/>
              <w:rPr>
                <w:rFonts w:hint="eastAsia" w:ascii="宋体" w:hAnsi="宋体"/>
                <w:sz w:val="24"/>
                <w:szCs w:val="24"/>
              </w:rPr>
            </w:pPr>
            <w:r>
              <w:rPr>
                <w:rFonts w:hint="eastAsia" w:ascii="宋体" w:hAnsi="宋体"/>
                <w:sz w:val="24"/>
                <w:szCs w:val="24"/>
              </w:rPr>
              <w:t>其中，</w:t>
            </w:r>
            <w:r>
              <w:rPr>
                <w:rFonts w:ascii="宋体" w:hAnsi="宋体"/>
                <w:sz w:val="24"/>
                <w:szCs w:val="24"/>
              </w:rPr>
              <w:t>F=10；E1=0.2；E2=0.1；评标价最低得分为0分。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741" w:type="dxa"/>
            <w:vAlign w:val="center"/>
          </w:tcPr>
          <w:p>
            <w:pPr>
              <w:pStyle w:val="5"/>
              <w:spacing w:line="480" w:lineRule="exact"/>
              <w:ind w:firstLine="240"/>
              <w:jc w:val="center"/>
              <w:rPr>
                <w:rFonts w:hint="eastAsia" w:hAnsi="宋体"/>
                <w:sz w:val="24"/>
                <w:szCs w:val="24"/>
              </w:rPr>
            </w:pPr>
            <w:r>
              <w:rPr>
                <w:rFonts w:hAnsi="宋体"/>
                <w:sz w:val="24"/>
                <w:szCs w:val="24"/>
              </w:rPr>
              <w:t>2.2.4（4）</w:t>
            </w:r>
          </w:p>
        </w:tc>
        <w:tc>
          <w:tcPr>
            <w:tcW w:w="741" w:type="dxa"/>
            <w:vAlign w:val="center"/>
          </w:tcPr>
          <w:p>
            <w:pPr>
              <w:pStyle w:val="5"/>
              <w:spacing w:line="480" w:lineRule="exact"/>
              <w:rPr>
                <w:rFonts w:hint="eastAsia" w:hAnsi="宋体"/>
                <w:sz w:val="24"/>
                <w:szCs w:val="24"/>
              </w:rPr>
            </w:pPr>
            <w:r>
              <w:rPr>
                <w:rFonts w:hint="eastAsia" w:hAnsi="宋体"/>
                <w:sz w:val="24"/>
                <w:szCs w:val="24"/>
              </w:rPr>
              <w:t>其他因素</w:t>
            </w:r>
          </w:p>
        </w:tc>
        <w:tc>
          <w:tcPr>
            <w:tcW w:w="831" w:type="dxa"/>
            <w:tcBorders>
              <w:top w:val="single" w:color="auto" w:sz="4" w:space="0"/>
            </w:tcBorders>
            <w:vAlign w:val="center"/>
          </w:tcPr>
          <w:p>
            <w:pPr>
              <w:pStyle w:val="5"/>
              <w:spacing w:line="276" w:lineRule="auto"/>
              <w:rPr>
                <w:rFonts w:hint="eastAsia" w:hAnsi="宋体"/>
                <w:sz w:val="24"/>
                <w:szCs w:val="24"/>
              </w:rPr>
            </w:pPr>
            <w:r>
              <w:rPr>
                <w:rFonts w:hAnsi="宋体"/>
                <w:sz w:val="24"/>
                <w:szCs w:val="24"/>
              </w:rPr>
              <w:t>25分</w:t>
            </w:r>
          </w:p>
        </w:tc>
        <w:tc>
          <w:tcPr>
            <w:tcW w:w="1209" w:type="dxa"/>
            <w:tcBorders>
              <w:top w:val="single" w:color="auto" w:sz="4" w:space="0"/>
            </w:tcBorders>
            <w:vAlign w:val="center"/>
          </w:tcPr>
          <w:p>
            <w:pPr>
              <w:pStyle w:val="5"/>
              <w:spacing w:line="276" w:lineRule="auto"/>
              <w:ind w:firstLine="240"/>
              <w:jc w:val="center"/>
              <w:rPr>
                <w:rFonts w:hint="eastAsia" w:hAnsi="宋体"/>
                <w:sz w:val="24"/>
                <w:szCs w:val="24"/>
              </w:rPr>
            </w:pPr>
            <w:r>
              <w:rPr>
                <w:rFonts w:hint="eastAsia" w:hAnsi="宋体"/>
                <w:sz w:val="24"/>
                <w:szCs w:val="24"/>
              </w:rPr>
              <w:t>业绩</w:t>
            </w:r>
          </w:p>
        </w:tc>
        <w:tc>
          <w:tcPr>
            <w:tcW w:w="634" w:type="dxa"/>
            <w:tcBorders>
              <w:top w:val="single" w:color="auto" w:sz="4" w:space="0"/>
            </w:tcBorders>
            <w:vAlign w:val="center"/>
          </w:tcPr>
          <w:p>
            <w:pPr>
              <w:pStyle w:val="5"/>
              <w:spacing w:line="276" w:lineRule="auto"/>
              <w:rPr>
                <w:rFonts w:hint="eastAsia" w:hAnsi="宋体"/>
                <w:sz w:val="24"/>
                <w:szCs w:val="24"/>
              </w:rPr>
            </w:pPr>
            <w:r>
              <w:rPr>
                <w:rFonts w:hAnsi="宋体"/>
                <w:sz w:val="24"/>
                <w:szCs w:val="24"/>
              </w:rPr>
              <w:t>25</w:t>
            </w:r>
            <w:r>
              <w:rPr>
                <w:rFonts w:hint="eastAsia" w:hAnsi="宋体"/>
                <w:sz w:val="24"/>
                <w:szCs w:val="24"/>
              </w:rPr>
              <w:t>分</w:t>
            </w:r>
          </w:p>
        </w:tc>
        <w:tc>
          <w:tcPr>
            <w:tcW w:w="5410" w:type="dxa"/>
            <w:tcBorders>
              <w:top w:val="single" w:color="auto" w:sz="4" w:space="0"/>
            </w:tcBorders>
            <w:vAlign w:val="center"/>
          </w:tcPr>
          <w:p>
            <w:pPr>
              <w:spacing w:line="276" w:lineRule="auto"/>
              <w:ind w:firstLine="240"/>
              <w:jc w:val="left"/>
              <w:rPr>
                <w:rFonts w:hint="eastAsia" w:ascii="宋体" w:hAnsi="宋体"/>
                <w:sz w:val="24"/>
                <w:szCs w:val="24"/>
              </w:rPr>
            </w:pPr>
            <w:r>
              <w:rPr>
                <w:rFonts w:hint="eastAsia" w:ascii="宋体" w:hAnsi="宋体"/>
                <w:sz w:val="24"/>
                <w:szCs w:val="24"/>
              </w:rPr>
              <w:t>投标人满足附录2资格审查条件（业绩最低要求）得15分，每增加1项满足附录2资格审查条件（业绩最低要求）的业绩得5分，最多加10分。</w:t>
            </w:r>
          </w:p>
        </w:tc>
      </w:tr>
    </w:tbl>
    <w:p>
      <w:pPr>
        <w:pStyle w:val="5"/>
        <w:spacing w:line="480" w:lineRule="exact"/>
        <w:ind w:firstLine="428" w:firstLineChars="204"/>
        <w:rPr>
          <w:rFonts w:hint="eastAsia" w:hAnsi="宋体"/>
          <w:szCs w:val="21"/>
        </w:rPr>
      </w:pPr>
      <w:r>
        <w:rPr>
          <w:rFonts w:hint="eastAsia" w:hAnsi="宋体"/>
          <w:szCs w:val="21"/>
        </w:rPr>
        <w:t>注：1、各评委打分保留1位小数，投标人该项得分以各评委打分平均值计算所得，保留两位小数，第三位小数四舍五入。</w:t>
      </w:r>
    </w:p>
    <w:p>
      <w:pPr>
        <w:pStyle w:val="5"/>
        <w:spacing w:line="480" w:lineRule="exact"/>
        <w:ind w:firstLine="428" w:firstLineChars="204"/>
        <w:rPr>
          <w:rFonts w:hint="eastAsia" w:hAnsi="宋体"/>
          <w:szCs w:val="21"/>
        </w:rPr>
      </w:pPr>
      <w:r>
        <w:rPr>
          <w:rFonts w:hint="eastAsia" w:hAnsi="宋体"/>
          <w:szCs w:val="21"/>
        </w:rPr>
        <w:t>2、各评分因素得分一般不应低于其权重分值的60%，评标委员会成员对某一项评分因素的评分低于权重分值 60%的，应在评标报告中作出说明。评审因素缺项则该项得0分。</w:t>
      </w:r>
    </w:p>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62B258E"/>
    <w:rsid w:val="267C5F31"/>
    <w:rsid w:val="27065532"/>
    <w:rsid w:val="27C849A7"/>
    <w:rsid w:val="29FD3CFB"/>
    <w:rsid w:val="2A14027C"/>
    <w:rsid w:val="2A71491B"/>
    <w:rsid w:val="2A7201E4"/>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8"/>
      <w:sz w:val="28"/>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kern w:val="2"/>
      <w:sz w:val="21"/>
    </w:rPr>
  </w:style>
  <w:style w:type="paragraph" w:styleId="6">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9">
    <w:name w:val="样式54"/>
    <w:basedOn w:val="2"/>
    <w:autoRedefine/>
    <w:qFormat/>
    <w:uiPriority w:val="0"/>
    <w:pPr>
      <w:spacing w:before="0" w:after="0" w:line="360" w:lineRule="auto"/>
      <w:jc w:val="center"/>
    </w:pPr>
  </w:style>
  <w:style w:type="paragraph" w:customStyle="1" w:styleId="10">
    <w:name w:val="样式55"/>
    <w:basedOn w:val="3"/>
    <w:qFormat/>
    <w:uiPriority w:val="0"/>
    <w:pPr>
      <w:spacing w:before="0" w:after="0" w:line="360" w:lineRule="auto"/>
    </w:pPr>
    <w:rPr>
      <w:sz w:val="28"/>
    </w:rPr>
  </w:style>
  <w:style w:type="character" w:customStyle="1" w:styleId="11">
    <w:name w:val="正文文本 (2) + 10.5 pt"/>
    <w:autoRedefine/>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2024-10-26T00:48:35Z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78724F35F4C14ABF86A21046069351B7</vt:lpwstr>
  </property>
</Properties>
</file>